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崔亚飞 vs 杨佳文 简历对比分析报告</w:t>
      </w:r>
    </w:p>
    <w:p>
      <w:pPr>
        <w:jc w:val="center"/>
      </w:pPr>
      <w:r>
        <w:rPr>
          <w:color w:val="666666"/>
          <w:sz w:val="28"/>
        </w:rPr>
        <w:t>自动生成 | 基于 7 项数据</w:t>
      </w:r>
    </w:p>
    <w:p/>
    <w:p>
      <w:pPr>
        <w:jc w:val="center"/>
      </w:pPr>
      <w:r>
        <w:rPr>
          <w:color w:val="999999"/>
          <w:sz w:val="20"/>
        </w:rPr>
        <w:t>作者: intelli-engine  |  语言: zh-CN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/>
    <w:p>
      <w:r>
        <w:rPr>
          <w:color w:val="2563EB"/>
          <w:sz w:val="24"/>
        </w:rPr>
        <w:t xml:space="preserve">  1.  报告概述</w:t>
      </w:r>
    </w:p>
    <w:p>
      <w:r>
        <w:rPr>
          <w:color w:val="2563EB"/>
          <w:sz w:val="24"/>
        </w:rPr>
        <w:t xml:space="preserve">  2.  基本信息对比</w:t>
      </w:r>
    </w:p>
    <w:p>
      <w:r>
        <w:rPr>
          <w:color w:val="2563EB"/>
          <w:sz w:val="24"/>
        </w:rPr>
        <w:t xml:space="preserve">  3.  教育背景对比</w:t>
      </w:r>
    </w:p>
    <w:p>
      <w:r>
        <w:rPr>
          <w:color w:val="2563EB"/>
          <w:sz w:val="24"/>
        </w:rPr>
        <w:t xml:space="preserve">  4.  工作经历对比</w:t>
      </w:r>
    </w:p>
    <w:p>
      <w:r>
        <w:rPr>
          <w:color w:val="2563EB"/>
          <w:sz w:val="24"/>
        </w:rPr>
        <w:t xml:space="preserve">  5.  技术栈对比</w:t>
      </w:r>
    </w:p>
    <w:p>
      <w:r>
        <w:rPr>
          <w:color w:val="2563EB"/>
          <w:sz w:val="24"/>
        </w:rPr>
        <w:t xml:space="preserve">  6.  项目经验对比</w:t>
      </w:r>
    </w:p>
    <w:p>
      <w:r>
        <w:rPr>
          <w:color w:val="2563EB"/>
          <w:sz w:val="24"/>
        </w:rPr>
        <w:t xml:space="preserve">  7.  职业技能对比</w:t>
      </w:r>
    </w:p>
    <w:p>
      <w:r>
        <w:rPr>
          <w:color w:val="2563EB"/>
          <w:sz w:val="24"/>
        </w:rPr>
        <w:t xml:space="preserve">  8.  综合优势与差异点</w:t>
      </w:r>
    </w:p>
    <w:p>
      <w:r>
        <w:rPr>
          <w:color w:val="2563EB"/>
          <w:sz w:val="24"/>
        </w:rPr>
        <w:t xml:space="preserve">  9.  结论与建议</w:t>
      </w:r>
    </w:p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报告概述</w:t>
      </w:r>
    </w:p>
    <w:p/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基本信息对比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教育背景对比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工作经历对比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技术栈对比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>
      <w:pPr>
        <w:spacing w:after="120"/>
      </w:pPr>
      <w:r>
        <w:t>**核心KPI**: 关键指标概览</w:t>
      </w:r>
    </w:p>
    <w:p>
      <w:pPr>
        <w:spacing w:after="120"/>
      </w:pPr>
      <w:r>
        <w:t>从数据中提取核心业务指标和性能度量。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项目经验对比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>
      <w:pPr>
        <w:spacing w:after="120"/>
      </w:pPr>
      <w:r>
        <w:t>**风险评估**: 基于数据的风险评估</w:t>
      </w:r>
    </w:p>
    <w:p>
      <w:pPr>
        <w:spacing w:after="120"/>
      </w:pPr>
      <w:r>
        <w:t>分析数据中的异常、下降趋势、集中度风险等。</w:t>
      </w:r>
    </w:p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职业技能对比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综合优势与差异点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>
      <w:pPr>
        <w:spacing w:after="120"/>
      </w:pPr>
      <w:r>
        <w:t>**风险评估**: 基于数据的风险评估</w:t>
      </w:r>
    </w:p>
    <w:p>
      <w:pPr>
        <w:spacing w:after="120"/>
      </w:pPr>
      <w:r>
        <w:t>分析数据中的异常、下降趋势、集中度风险等。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结论与建议</w:t>
      </w:r>
    </w:p>
    <w:p/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由 intelli-engine AI 能力平台生成 | 2026-06-26T22:27:21.824504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