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EDE0A">
      <w:pPr>
        <w:pStyle w:val="3"/>
        <w:spacing w:before="0" w:after="0" w:line="600" w:lineRule="exact"/>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小标宋体" w:cs="Times New Roman Regular"/>
          <w:b w:val="0"/>
          <w:color w:val="000000" w:themeColor="text1"/>
          <w:sz w:val="44"/>
          <w14:textFill>
            <w14:solidFill>
              <w14:schemeClr w14:val="tx1"/>
            </w14:solidFill>
          </w14:textFill>
        </w:rPr>
        <w:t>民政领域智能化场景建设规划方案</w:t>
      </w:r>
    </w:p>
    <w:p w14:paraId="710E8B54">
      <w:pPr>
        <w:pStyle w:val="4"/>
        <w:keepNext/>
        <w:keepLines/>
        <w:pageBreakBefore w:val="0"/>
        <w:widowControl/>
        <w:kinsoku/>
        <w:wordWrap/>
        <w:overflowPunct/>
        <w:topLinePunct w:val="0"/>
        <w:autoSpaceDE/>
        <w:autoSpaceDN/>
        <w:bidi w:val="0"/>
        <w:adjustRightInd/>
        <w:snapToGrid/>
        <w:spacing w:before="0" w:after="0" w:line="600" w:lineRule="exact"/>
        <w:ind w:firstLine="0" w:firstLineChars="0"/>
        <w:jc w:val="both"/>
        <w:textAlignment w:val="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黑体" w:cs="Times New Roman Regular"/>
          <w:b w:val="0"/>
          <w:color w:val="000000" w:themeColor="text1"/>
          <w:sz w:val="32"/>
          <w14:textFill>
            <w14:solidFill>
              <w14:schemeClr w14:val="tx1"/>
            </w14:solidFill>
          </w14:textFill>
        </w:rPr>
        <w:t>一、智能门户</w:t>
      </w:r>
    </w:p>
    <w:p w14:paraId="0875FE2D">
      <w:pPr>
        <w:pStyle w:val="5"/>
        <w:keepNext/>
        <w:keepLines/>
        <w:pageBreakBefore w:val="0"/>
        <w:widowControl/>
        <w:numPr>
          <w:ilvl w:val="0"/>
          <w:numId w:val="7"/>
        </w:numPr>
        <w:kinsoku/>
        <w:wordWrap/>
        <w:overflowPunct/>
        <w:topLinePunct w:val="0"/>
        <w:autoSpaceDE/>
        <w:autoSpaceDN/>
        <w:bidi w:val="0"/>
        <w:adjustRightInd/>
        <w:snapToGrid/>
        <w:spacing w:before="0" w:after="0" w:line="600" w:lineRule="exact"/>
        <w:ind w:left="0" w:leftChars="0" w:firstLine="641" w:firstLineChars="200"/>
        <w:jc w:val="both"/>
        <w:textAlignment w:val="auto"/>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建设任务</w:t>
      </w:r>
    </w:p>
    <w:p w14:paraId="1217160F">
      <w:pPr>
        <w:pStyle w:val="5"/>
        <w:keepNext/>
        <w:keepLines/>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Regular" w:hAnsi="Times New Roman Regular" w:eastAsia="仿宋_GB2312" w:cs="Times New Roman Regular"/>
          <w:b/>
          <w:bCs/>
          <w:color w:val="000000" w:themeColor="text1"/>
          <w:sz w:val="32"/>
          <w14:textFill>
            <w14:solidFill>
              <w14:schemeClr w14:val="tx1"/>
            </w14:solidFill>
          </w14:textFill>
        </w:rPr>
      </w:pPr>
      <w:r>
        <w:rPr>
          <w:rFonts w:hint="default" w:ascii="Times New Roman Regular" w:hAnsi="Times New Roman Regular" w:eastAsia="仿宋_GB2312" w:cs="Times New Roman Regular"/>
          <w:b/>
          <w:bCs/>
          <w:color w:val="000000" w:themeColor="text1"/>
          <w:sz w:val="32"/>
          <w:lang w:val="en-US" w:eastAsia="zh-CN"/>
          <w14:textFill>
            <w14:solidFill>
              <w14:schemeClr w14:val="tx1"/>
            </w14:solidFill>
          </w14:textFill>
        </w:rPr>
        <w:t>1.</w:t>
      </w:r>
      <w:r>
        <w:rPr>
          <w:rFonts w:hint="default" w:ascii="Times New Roman Regular" w:hAnsi="Times New Roman Regular" w:eastAsia="仿宋_GB2312" w:cs="Times New Roman Regular"/>
          <w:b/>
          <w:bCs/>
          <w:color w:val="000000" w:themeColor="text1"/>
          <w:sz w:val="32"/>
          <w14:textFill>
            <w14:solidFill>
              <w14:schemeClr w14:val="tx1"/>
            </w14:solidFill>
          </w14:textFill>
        </w:rPr>
        <w:t>应用开发</w:t>
      </w:r>
    </w:p>
    <w:p w14:paraId="5863448A">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val="0"/>
          <w:color w:val="000000" w:themeColor="text1"/>
          <w:sz w:val="32"/>
          <w14:textFill>
            <w14:solidFill>
              <w14:schemeClr w14:val="tx1"/>
            </w14:solidFill>
          </w14:textFill>
        </w:rPr>
        <w:t>智能门户从用户使用角度出发，基于大模型技术，融合政务服务事项、门户信息资源、政策知识库和用户行为数据，创新“读、找、问、办”四大核心服务能力，为政府门户提供全新的解决方案。“读”让用户能够轻松获取政务信息，“找”则促进了信息的交互与共享，“问”实现了问题的快速解答与反馈，“办”则简化了办事流程，提高了服务效率，四大能力各具特色，相互协同，共同构成了智能门户的服务基石。</w:t>
      </w:r>
    </w:p>
    <w:p w14:paraId="3FC11CF3">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color w:val="000000" w:themeColor="text1"/>
          <w:sz w:val="32"/>
          <w14:textFill>
            <w14:solidFill>
              <w14:schemeClr w14:val="tx1"/>
            </w14:solidFill>
          </w14:textFill>
        </w:rPr>
        <w:t>读</w:t>
      </w:r>
      <w:r>
        <w:rPr>
          <w:rFonts w:hint="default" w:ascii="Times New Roman Regular" w:hAnsi="Times New Roman Regular" w:eastAsia="仿宋_GB2312" w:cs="Times New Roman Regular"/>
          <w:b/>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运用自然语言处理技术，对民政政策文件、办事指南等文本进行自动摘要、深度解读、差异比对、术语解释及多语言翻译，将复杂政策转化为简明易懂的知识供给，帮助用户快速精准把握核心要点。</w:t>
      </w:r>
    </w:p>
    <w:p w14:paraId="4F4FA891">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color w:val="000000" w:themeColor="text1"/>
          <w:sz w:val="32"/>
          <w14:textFill>
            <w14:solidFill>
              <w14:schemeClr w14:val="tx1"/>
            </w14:solidFill>
          </w14:textFill>
        </w:rPr>
        <w:t>找</w:t>
      </w:r>
      <w:r>
        <w:rPr>
          <w:rFonts w:hint="default" w:ascii="Times New Roman Regular" w:hAnsi="Times New Roman Regular" w:eastAsia="仿宋_GB2312" w:cs="Times New Roman Regular"/>
          <w:b/>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构建"搜问一体"智能检索能力，依托语义理解技术精准识别用户查询意图，深度融合政策文件、办事指南、数据资源等多源信息，自动挖掘内容关联与拓展知识，以系统全面、条理清晰的结果呈现，实现从"关键词匹配"到"意图直达"的跃升。</w:t>
      </w:r>
    </w:p>
    <w:p w14:paraId="6158F758">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color w:val="000000" w:themeColor="text1"/>
          <w:sz w:val="32"/>
          <w14:textFill>
            <w14:solidFill>
              <w14:schemeClr w14:val="tx1"/>
            </w14:solidFill>
          </w14:textFill>
        </w:rPr>
        <w:t>问</w:t>
      </w:r>
      <w:r>
        <w:rPr>
          <w:rFonts w:hint="default" w:ascii="Times New Roman Regular" w:hAnsi="Times New Roman Regular" w:eastAsia="仿宋_GB2312" w:cs="Times New Roman Regular"/>
          <w:b/>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搭建智能问答交互通道，支持语音对话、统计问数及语义转化，以通俗语言解读民政政策、解答群众疑问，精准捕捉质朴诉求背后的核心意图，实现政策咨询与办件引导的无缝衔接。</w:t>
      </w:r>
    </w:p>
    <w:p w14:paraId="446AE8A1">
      <w:pPr>
        <w:spacing w:before="0" w:after="0" w:line="600" w:lineRule="exact"/>
        <w:ind w:firstLine="640"/>
        <w:jc w:val="both"/>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仿宋_GB2312" w:cs="Times New Roman Regular"/>
          <w:b/>
          <w:color w:val="000000" w:themeColor="text1"/>
          <w:sz w:val="32"/>
          <w14:textFill>
            <w14:solidFill>
              <w14:schemeClr w14:val="tx1"/>
            </w14:solidFill>
          </w14:textFill>
        </w:rPr>
        <w:t>办</w:t>
      </w:r>
      <w:r>
        <w:rPr>
          <w:rFonts w:hint="default" w:ascii="Times New Roman Regular" w:hAnsi="Times New Roman Regular" w:eastAsia="仿宋_GB2312" w:cs="Times New Roman Regular"/>
          <w:b/>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集成在线办事全流程服务能力，覆盖办事咨询、在线办理、进度查询及办事导航。精准识别用户身份与诉求，主动推送个性化办事指引，实时反馈办理进度并推荐就近服务网点，切实简化流程、提升服务效率。</w:t>
      </w:r>
    </w:p>
    <w:p w14:paraId="6E779F34">
      <w:pPr>
        <w:pStyle w:val="5"/>
        <w:keepNext/>
        <w:keepLines/>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Regular" w:hAnsi="Times New Roman Regular" w:eastAsia="仿宋_GB2312" w:cs="Times New Roman Regular"/>
          <w:b/>
          <w:bCs/>
          <w:color w:val="000000" w:themeColor="text1"/>
          <w:sz w:val="32"/>
          <w:lang w:val="en-US" w:eastAsia="zh-CN"/>
          <w14:textFill>
            <w14:solidFill>
              <w14:schemeClr w14:val="tx1"/>
            </w14:solidFill>
          </w14:textFill>
        </w:rPr>
      </w:pPr>
      <w:r>
        <w:rPr>
          <w:rFonts w:hint="default" w:ascii="Times New Roman Regular" w:hAnsi="Times New Roman Regular" w:eastAsia="仿宋_GB2312" w:cs="Times New Roman Regular"/>
          <w:b/>
          <w:bCs/>
          <w:color w:val="000000" w:themeColor="text1"/>
          <w:sz w:val="32"/>
          <w:lang w:val="en-US" w:eastAsia="zh-CN"/>
          <w14:textFill>
            <w14:solidFill>
              <w14:schemeClr w14:val="tx1"/>
            </w14:solidFill>
          </w14:textFill>
        </w:rPr>
        <w:t>2.能力搭建</w:t>
      </w:r>
    </w:p>
    <w:p w14:paraId="3783A0F1">
      <w:pPr>
        <w:spacing w:before="0" w:after="0" w:line="600" w:lineRule="exact"/>
        <w:ind w:firstLine="640"/>
        <w:jc w:val="both"/>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仿宋_GB2312" w:cs="Times New Roman Regular"/>
          <w:b w:val="0"/>
          <w:color w:val="000000" w:themeColor="text1"/>
          <w:sz w:val="32"/>
          <w14:textFill>
            <w14:solidFill>
              <w14:schemeClr w14:val="tx1"/>
            </w14:solidFill>
          </w14:textFill>
        </w:rPr>
        <w:t>智能门户建设需遵循系统实施路径，通过轻量化集成将AI能力嵌入现有门户页面，同步开展多源异构数据预处理，构建涵盖政策文件、政务公开等类别的主题知识库并形成向量数据库、文本索引库及知识图谱，最终依托开放式大模型底座接入兼容的主流模型，为AI能力平台与智能体构建提供核心支撑，从而将大模型优势充分转化为便捷高效的政务服务体验。</w:t>
      </w:r>
    </w:p>
    <w:p w14:paraId="34BC3D14">
      <w:pPr>
        <w:pStyle w:val="5"/>
        <w:numPr>
          <w:ilvl w:val="0"/>
          <w:numId w:val="7"/>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服务对象</w:t>
      </w:r>
    </w:p>
    <w:p w14:paraId="7906E0A7">
      <w:pPr>
        <w:spacing w:before="0" w:after="0" w:line="600" w:lineRule="exact"/>
        <w:ind w:firstLine="640"/>
        <w:jc w:val="both"/>
        <w:rPr>
          <w:rFonts w:hint="default" w:ascii="Times New Roman Regular" w:hAnsi="Times New Roman Regular" w:eastAsia="仿宋_GB2312" w:cs="Times New Roman Regular"/>
          <w:b w:val="0"/>
          <w:bCs w:val="0"/>
          <w:color w:val="000000" w:themeColor="text1"/>
          <w:sz w:val="32"/>
          <w14:textFill>
            <w14:solidFill>
              <w14:schemeClr w14:val="tx1"/>
            </w14:solidFill>
          </w14:textFill>
        </w:rPr>
      </w:pPr>
      <w:r>
        <w:rPr>
          <w:rFonts w:hint="default" w:ascii="Times New Roman Regular" w:hAnsi="Times New Roman Regular" w:eastAsia="仿宋_GB2312" w:cs="Times New Roman Regular"/>
          <w:b w:val="0"/>
          <w:bCs w:val="0"/>
          <w:color w:val="000000" w:themeColor="text1"/>
          <w:sz w:val="32"/>
          <w:lang w:val="en-US" w:eastAsia="zh-CN"/>
          <w14:textFill>
            <w14:solidFill>
              <w14:schemeClr w14:val="tx1"/>
            </w14:solidFill>
          </w14:textFill>
        </w:rPr>
        <w:t>面向群众提供智能化、便捷化的门户访问与在线办事服务。</w:t>
      </w:r>
    </w:p>
    <w:p w14:paraId="714D30C8">
      <w:pPr>
        <w:pStyle w:val="5"/>
        <w:numPr>
          <w:ilvl w:val="0"/>
          <w:numId w:val="7"/>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部署网络</w:t>
      </w:r>
    </w:p>
    <w:p w14:paraId="1E75CE62">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依托符合等保要求的政务云环境部署，配置容器编排、容器管理、容器工作、搜索引擎、缓存及消息队列、数据库、运维日志等服务器节点及NAS存储，共计10个</w:t>
      </w:r>
      <w:bookmarkStart w:id="0" w:name="_GoBack"/>
      <w:bookmarkEnd w:id="0"/>
      <w:r>
        <w:rPr>
          <w:rFonts w:hint="eastAsia" w:ascii="Times New Roman Regular" w:hAnsi="Times New Roman Regular" w:eastAsia="仿宋_GB2312" w:cs="Times New Roman Regular"/>
          <w:b w:val="0"/>
          <w:color w:val="000000" w:themeColor="text1"/>
          <w:sz w:val="32"/>
          <w:lang w:val="en-US" w:eastAsia="zh-CN"/>
          <w14:textFill>
            <w14:solidFill>
              <w14:schemeClr w14:val="tx1"/>
            </w14:solidFill>
          </w14:textFill>
        </w:rPr>
        <w:t>虚拟机</w:t>
      </w: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，分别承担服务调度、工作负载、检索加速、缓存通信、数据持久化、运维监控及共享存储职能，核心服务与数据保障安全可控，交互层面向互联网提供安全访问。</w:t>
      </w:r>
    </w:p>
    <w:p w14:paraId="5BFBA177">
      <w:pPr>
        <w:pStyle w:val="5"/>
        <w:numPr>
          <w:ilvl w:val="0"/>
          <w:numId w:val="7"/>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GPU算力需求</w:t>
      </w:r>
    </w:p>
    <w:p w14:paraId="6E8AA504">
      <w:pPr>
        <w:spacing w:before="0" w:after="0" w:line="600" w:lineRule="exact"/>
        <w:ind w:firstLine="640"/>
        <w:jc w:val="both"/>
        <w:rPr>
          <w:rFonts w:hint="default" w:ascii="Times New Roman Regular" w:hAnsi="Times New Roman Regular" w:eastAsia="Arial" w:cs="Times New Roman Regular"/>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智能门户及智能问策两个场景共用一套GPU算力资源，可选配NVIDIA RTX 4090、华为昇腾910B或海光K100-AI等主流型号，每套配置4卡，满足模型推理等智能服务的算力需求，保障系统响应高效稳定。</w:t>
      </w:r>
    </w:p>
    <w:p w14:paraId="08EB73C8">
      <w:pPr>
        <w:pStyle w:val="5"/>
        <w:numPr>
          <w:ilvl w:val="0"/>
          <w:numId w:val="7"/>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大模型训练</w:t>
      </w:r>
    </w:p>
    <w:p w14:paraId="17CBDAD0">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val="0"/>
          <w:color w:val="000000" w:themeColor="text1"/>
          <w:sz w:val="32"/>
          <w14:textFill>
            <w14:solidFill>
              <w14:schemeClr w14:val="tx1"/>
            </w14:solidFill>
          </w14:textFill>
        </w:rPr>
        <w:t>基于通用大模型底座，主要通过提示词工程优化与场景化任务编排，结合门户知识库动态召回增强上下文，持续迭代提升模型在智能检索、问答交互及多模态处理等场景中的输出质量与适配能力。</w:t>
      </w:r>
    </w:p>
    <w:p w14:paraId="0B7CBDE5">
      <w:pPr>
        <w:jc w:val="both"/>
        <w:rPr>
          <w:rFonts w:hint="default" w:ascii="Times New Roman Regular" w:hAnsi="Times New Roman Regular" w:eastAsia="黑体" w:cs="Times New Roman Regular"/>
          <w:b w:val="0"/>
          <w:color w:val="000000" w:themeColor="text1"/>
          <w:sz w:val="32"/>
          <w14:textFill>
            <w14:solidFill>
              <w14:schemeClr w14:val="tx1"/>
            </w14:solidFill>
          </w14:textFill>
        </w:rPr>
      </w:pPr>
      <w:r>
        <w:rPr>
          <w:rFonts w:hint="default" w:ascii="Times New Roman Regular" w:hAnsi="Times New Roman Regular" w:eastAsia="黑体" w:cs="Times New Roman Regular"/>
          <w:b w:val="0"/>
          <w:color w:val="000000" w:themeColor="text1"/>
          <w:sz w:val="32"/>
          <w14:textFill>
            <w14:solidFill>
              <w14:schemeClr w14:val="tx1"/>
            </w14:solidFill>
          </w14:textFill>
        </w:rPr>
        <w:br w:type="page"/>
      </w:r>
    </w:p>
    <w:p w14:paraId="76A5C3D0">
      <w:pPr>
        <w:pStyle w:val="4"/>
        <w:spacing w:before="0" w:after="0" w:line="600" w:lineRule="exact"/>
        <w:jc w:val="both"/>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黑体" w:cs="Times New Roman Regular"/>
          <w:b w:val="0"/>
          <w:color w:val="000000" w:themeColor="text1"/>
          <w:sz w:val="32"/>
          <w14:textFill>
            <w14:solidFill>
              <w14:schemeClr w14:val="tx1"/>
            </w14:solidFill>
          </w14:textFill>
        </w:rPr>
        <w:t>二、智能问策</w:t>
      </w:r>
    </w:p>
    <w:p w14:paraId="17B11D5D">
      <w:pPr>
        <w:pStyle w:val="5"/>
        <w:numPr>
          <w:ilvl w:val="0"/>
          <w:numId w:val="8"/>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建设任务</w:t>
      </w:r>
    </w:p>
    <w:p w14:paraId="5FE6D46C">
      <w:pPr>
        <w:pStyle w:val="5"/>
        <w:keepNext/>
        <w:keepLines/>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Regular" w:hAnsi="Times New Roman Regular" w:eastAsia="仿宋_GB2312" w:cs="Times New Roman Regular"/>
          <w:b/>
          <w:bCs/>
          <w:color w:val="000000" w:themeColor="text1"/>
          <w:sz w:val="32"/>
          <w:lang w:val="en-US" w:eastAsia="zh-CN"/>
          <w14:textFill>
            <w14:solidFill>
              <w14:schemeClr w14:val="tx1"/>
            </w14:solidFill>
          </w14:textFill>
        </w:rPr>
      </w:pPr>
      <w:r>
        <w:rPr>
          <w:rFonts w:hint="default" w:ascii="Times New Roman Regular" w:hAnsi="Times New Roman Regular" w:eastAsia="仿宋_GB2312" w:cs="Times New Roman Regular"/>
          <w:b/>
          <w:bCs/>
          <w:color w:val="000000" w:themeColor="text1"/>
          <w:sz w:val="32"/>
          <w:lang w:val="en-US" w:eastAsia="zh-CN"/>
          <w14:textFill>
            <w14:solidFill>
              <w14:schemeClr w14:val="tx1"/>
            </w14:solidFill>
          </w14:textFill>
        </w:rPr>
        <w:t>1.应用开发</w:t>
      </w:r>
    </w:p>
    <w:p w14:paraId="36A0DD19">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val="0"/>
          <w:color w:val="000000" w:themeColor="text1"/>
          <w:sz w:val="32"/>
          <w14:textFill>
            <w14:solidFill>
              <w14:schemeClr w14:val="tx1"/>
            </w14:solidFill>
          </w14:textFill>
        </w:rPr>
        <w:t>智能问策面向基层群众、社会组织、慈善组织、养老机构等民政服务对象</w:t>
      </w:r>
      <w:r>
        <w:rPr>
          <w:rFonts w:hint="default" w:ascii="Times New Roman Regular" w:hAnsi="Times New Roman Regular" w:eastAsia="仿宋_GB2312" w:cs="Times New Roman Regular"/>
          <w:b w:val="0"/>
          <w:color w:val="000000" w:themeColor="text1"/>
          <w:sz w:val="32"/>
          <w:lang w:eastAsia="zh-CN"/>
          <w14:textFill>
            <w14:solidFill>
              <w14:schemeClr w14:val="tx1"/>
            </w14:solidFill>
          </w14:textFill>
        </w:rPr>
        <w:t>，基于大模型技术，融合民政政策法规、办事指南、业务规则、常见问题和历史咨询数据，构建可溯源、可解释、可持续优化的政策咨询服务能力。</w:t>
      </w: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系统能够</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深度理解用户提出的民政领域专业问题，精准解析核心要点，给出准确、权威且有法规依据的解答。通过与用户自然交互收集反馈，持续迭代优化模型，有效分流客服热线与现场咨询压力，提升政策咨询沟通效率。</w:t>
      </w:r>
    </w:p>
    <w:p w14:paraId="678D378E">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bCs/>
          <w:color w:val="000000" w:themeColor="text1"/>
          <w:sz w:val="32"/>
          <w14:textFill>
            <w14:solidFill>
              <w14:schemeClr w14:val="tx1"/>
            </w14:solidFill>
          </w14:textFill>
        </w:rPr>
        <w:t>深度意图识别</w:t>
      </w:r>
      <w:r>
        <w:rPr>
          <w:rFonts w:hint="default" w:ascii="Times New Roman Regular" w:hAnsi="Times New Roman Regular" w:eastAsia="仿宋_GB2312" w:cs="Times New Roman Regular"/>
          <w:b/>
          <w:bCs/>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采用预训练模型结合规则引擎，对用户输入进行深度语义分析，精准识别查询、办事、投诉等意图，以及社会救助、养老服务、婚姻登记、社会组织、福利慈善等细分业务领域。通过处理特定的民政专业术语与固定句式，确保识别的高准确率。</w:t>
      </w:r>
    </w:p>
    <w:p w14:paraId="7DEB33EA">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bCs/>
          <w:color w:val="000000" w:themeColor="text1"/>
          <w:sz w:val="32"/>
          <w14:textFill>
            <w14:solidFill>
              <w14:schemeClr w14:val="tx1"/>
            </w14:solidFill>
          </w14:textFill>
        </w:rPr>
        <w:t>混合知识检索</w:t>
      </w:r>
      <w:r>
        <w:rPr>
          <w:rFonts w:hint="default" w:ascii="Times New Roman Regular" w:hAnsi="Times New Roman Regular" w:eastAsia="仿宋_GB2312" w:cs="Times New Roman Regular"/>
          <w:b/>
          <w:bCs/>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融合关键词检索、语义向量检索与知识图谱关联检索技术，在知识库中快速定位相关政策法规、办事指南、典型案例及业务信息，根据相关度、权威性与时效性对检索结果进行智能排序，确保召回的知识片段最优且匹配。</w:t>
      </w:r>
    </w:p>
    <w:p w14:paraId="3C6544D3">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bCs/>
          <w:color w:val="000000" w:themeColor="text1"/>
          <w:sz w:val="32"/>
          <w14:textFill>
            <w14:solidFill>
              <w14:schemeClr w14:val="tx1"/>
            </w14:solidFill>
          </w14:textFill>
        </w:rPr>
        <w:t>答案生成与溯源</w:t>
      </w:r>
      <w:r>
        <w:rPr>
          <w:rFonts w:hint="default" w:ascii="Times New Roman Regular" w:hAnsi="Times New Roman Regular" w:eastAsia="仿宋_GB2312" w:cs="Times New Roman Regular"/>
          <w:b/>
          <w:bCs/>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基于检索到的知识片段，利用大语言模型生成通顺、专业、拟人化的回答。对于关键信息，系统自动标注出处并提供原文链接，确保来源可信、可溯源。</w:t>
      </w:r>
    </w:p>
    <w:p w14:paraId="1EFAFB8F">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bCs/>
          <w:color w:val="000000" w:themeColor="text1"/>
          <w:sz w:val="32"/>
          <w14:textFill>
            <w14:solidFill>
              <w14:schemeClr w14:val="tx1"/>
            </w14:solidFill>
          </w14:textFill>
        </w:rPr>
        <w:t>多轮对话管理</w:t>
      </w:r>
      <w:r>
        <w:rPr>
          <w:rFonts w:hint="default" w:ascii="Times New Roman Regular" w:hAnsi="Times New Roman Regular" w:eastAsia="仿宋_GB2312" w:cs="Times New Roman Regular"/>
          <w:b/>
          <w:bCs/>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提供强大的上下文理解能力，支持多轮追问与澄清交互，确保系统在连续对话中精准捕捉并关联上文信息，结合语境准确理解并回答，提供连贯且拟人化的交互体验，如真人专家般引导用户逐步明确需求并解决问题。</w:t>
      </w:r>
    </w:p>
    <w:p w14:paraId="20AD9493">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bCs/>
          <w:color w:val="000000" w:themeColor="text1"/>
          <w:sz w:val="32"/>
          <w14:textFill>
            <w14:solidFill>
              <w14:schemeClr w14:val="tx1"/>
            </w14:solidFill>
          </w14:textFill>
        </w:rPr>
        <w:t>多模态交互支持</w:t>
      </w:r>
      <w:r>
        <w:rPr>
          <w:rFonts w:hint="default" w:ascii="Times New Roman Regular" w:hAnsi="Times New Roman Regular" w:eastAsia="仿宋_GB2312" w:cs="Times New Roman Regular"/>
          <w:b/>
          <w:bCs/>
          <w:color w:val="000000" w:themeColor="text1"/>
          <w:sz w:val="32"/>
          <w:lang w:eastAsia="zh-CN"/>
          <w14:textFill>
            <w14:solidFill>
              <w14:schemeClr w14:val="tx1"/>
            </w14:solidFill>
          </w14:textFill>
        </w:rPr>
        <w:t>。</w:t>
      </w:r>
      <w:r>
        <w:rPr>
          <w:rFonts w:hint="default" w:ascii="Times New Roman Regular" w:hAnsi="Times New Roman Regular" w:eastAsia="仿宋_GB2312" w:cs="Times New Roman Regular"/>
          <w:b w:val="0"/>
          <w:color w:val="000000" w:themeColor="text1"/>
          <w:sz w:val="32"/>
          <w14:textFill>
            <w14:solidFill>
              <w14:schemeClr w14:val="tx1"/>
            </w14:solidFill>
          </w14:textFill>
        </w:rPr>
        <w:t>打破文本交互限制，支持语音输入与语音合成，方便移动场景下的咨询使用。集成OCR技术，支持上传证件材料图片、办事表单截图进行识别咨询，通过图片问答帮助用户快速获取材料填写、业务办理等指导，极大地丰富交互手段。</w:t>
      </w:r>
    </w:p>
    <w:p w14:paraId="49631554">
      <w:pPr>
        <w:pStyle w:val="5"/>
        <w:keepNext/>
        <w:keepLines/>
        <w:pageBreakBefore w:val="0"/>
        <w:widowControl/>
        <w:kinsoku/>
        <w:wordWrap/>
        <w:overflowPunct/>
        <w:topLinePunct w:val="0"/>
        <w:autoSpaceDE/>
        <w:autoSpaceDN/>
        <w:bidi w:val="0"/>
        <w:adjustRightInd/>
        <w:snapToGrid/>
        <w:spacing w:before="0" w:after="0" w:line="600" w:lineRule="exact"/>
        <w:ind w:firstLine="643" w:firstLineChars="200"/>
        <w:jc w:val="both"/>
        <w:textAlignment w:val="auto"/>
        <w:rPr>
          <w:rFonts w:hint="default" w:ascii="Times New Roman Regular" w:hAnsi="Times New Roman Regular" w:eastAsia="仿宋_GB2312" w:cs="Times New Roman Regular"/>
          <w:b/>
          <w:bCs/>
          <w:color w:val="000000" w:themeColor="text1"/>
          <w:sz w:val="32"/>
          <w:lang w:val="en-US" w:eastAsia="zh-CN"/>
          <w14:textFill>
            <w14:solidFill>
              <w14:schemeClr w14:val="tx1"/>
            </w14:solidFill>
          </w14:textFill>
        </w:rPr>
      </w:pPr>
      <w:r>
        <w:rPr>
          <w:rFonts w:hint="default" w:ascii="Times New Roman Regular" w:hAnsi="Times New Roman Regular" w:eastAsia="仿宋_GB2312" w:cs="Times New Roman Regular"/>
          <w:b/>
          <w:bCs/>
          <w:color w:val="000000" w:themeColor="text1"/>
          <w:sz w:val="32"/>
          <w:lang w:val="en-US" w:eastAsia="zh-CN"/>
          <w14:textFill>
            <w14:solidFill>
              <w14:schemeClr w14:val="tx1"/>
            </w14:solidFill>
          </w14:textFill>
        </w:rPr>
        <w:t>2.能力搭建</w:t>
      </w:r>
    </w:p>
    <w:p w14:paraId="194202BF">
      <w:pPr>
        <w:spacing w:before="0" w:after="0" w:line="600" w:lineRule="exact"/>
        <w:ind w:firstLine="640"/>
        <w:jc w:val="both"/>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仿宋_GB2312" w:cs="Times New Roman Regular"/>
          <w:b w:val="0"/>
          <w:color w:val="000000" w:themeColor="text1"/>
          <w:sz w:val="32"/>
          <w14:textFill>
            <w14:solidFill>
              <w14:schemeClr w14:val="tx1"/>
            </w14:solidFill>
          </w14:textFill>
        </w:rPr>
        <w:t>为提升政策智能服务能力，需从政策采集、知识构建、模型增强、服务编排、智能体搭建及监测分析六方面协同推进：通过融合互联网爬虫、标准接口与RPA技术构建多源异构采集体系，对接权威渠道实现多格式文档结构化提取与人工复核；整合国家法律法规及各级民政政策文件，采用图数据库、关系型数据库与向量数据库融合架构搭建多模态政策知识库，依托混合检索引擎与动态问答对库支撑高效召回；基于通用大模型底座注入领域知识并强化多模态交互与复杂推理能力；利用工作流引擎实现多智能体协同调度；通过可视化画布构建具备任务分解与自动规划能力的政策应用智能体，全面赋能政策订阅、精准推送、智能试算及场景化问答等全周期服务；同步构建多维度可视化监测体系，实时呈现核心指标、挖掘群众热点需求并预测业务高峰。</w:t>
      </w:r>
    </w:p>
    <w:p w14:paraId="438DC336">
      <w:pPr>
        <w:pStyle w:val="5"/>
        <w:numPr>
          <w:ilvl w:val="0"/>
          <w:numId w:val="8"/>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服务对象</w:t>
      </w:r>
    </w:p>
    <w:p w14:paraId="748FF8DB">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面向政策咨询人员及社会公众，提供政策解读、办事指引与智能问答服务。</w:t>
      </w:r>
    </w:p>
    <w:p w14:paraId="041E2FA9">
      <w:pPr>
        <w:pStyle w:val="5"/>
        <w:numPr>
          <w:ilvl w:val="0"/>
          <w:numId w:val="8"/>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部署网络</w:t>
      </w:r>
    </w:p>
    <w:p w14:paraId="21BD68FB">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pP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与智能门户场景共用云环境及网络资源。</w:t>
      </w:r>
    </w:p>
    <w:p w14:paraId="3F9D25C1">
      <w:pPr>
        <w:pStyle w:val="5"/>
        <w:numPr>
          <w:ilvl w:val="0"/>
          <w:numId w:val="8"/>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GPU算力需求</w:t>
      </w:r>
    </w:p>
    <w:p w14:paraId="43DABEAB">
      <w:pPr>
        <w:spacing w:before="0" w:after="0" w:line="600" w:lineRule="exact"/>
        <w:ind w:firstLine="640"/>
        <w:jc w:val="both"/>
        <w:rPr>
          <w:rFonts w:hint="default" w:ascii="Times New Roman Regular" w:hAnsi="Times New Roman Regular" w:eastAsia="Arial" w:cs="Times New Roman Regular"/>
          <w:i w:val="0"/>
          <w:iCs w:val="0"/>
          <w:caps w:val="0"/>
          <w:color w:val="000000" w:themeColor="text1"/>
          <w:spacing w:val="0"/>
          <w:kern w:val="0"/>
          <w:sz w:val="32"/>
          <w:szCs w:val="32"/>
          <w:shd w:val="clear" w:fill="FFFFFF"/>
          <w:lang w:val="en-US" w:eastAsia="zh-CN" w:bidi="ar"/>
          <w14:textFill>
            <w14:solidFill>
              <w14:schemeClr w14:val="tx1"/>
            </w14:solidFill>
          </w14:textFill>
        </w:rPr>
      </w:pP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与智能门户场景共用GPU算力资源。</w:t>
      </w:r>
    </w:p>
    <w:p w14:paraId="328B41EB">
      <w:pPr>
        <w:pStyle w:val="5"/>
        <w:numPr>
          <w:ilvl w:val="0"/>
          <w:numId w:val="8"/>
        </w:numPr>
        <w:spacing w:before="0" w:after="0" w:line="600" w:lineRule="exact"/>
        <w:ind w:left="0" w:leftChars="0" w:firstLine="420" w:firstLineChars="0"/>
        <w:jc w:val="both"/>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pPr>
      <w:r>
        <w:rPr>
          <w:rFonts w:hint="default" w:ascii="Times New Roman Regular" w:hAnsi="Times New Roman Regular" w:eastAsia="楷体_GB2312" w:cs="Times New Roman Regular"/>
          <w:b/>
          <w:color w:val="000000" w:themeColor="text1"/>
          <w:sz w:val="32"/>
          <w:lang w:val="en-US" w:eastAsia="zh-CN"/>
          <w14:textFill>
            <w14:solidFill>
              <w14:schemeClr w14:val="tx1"/>
            </w14:solidFill>
          </w14:textFill>
        </w:rPr>
        <w:t>大模型训练</w:t>
      </w:r>
    </w:p>
    <w:p w14:paraId="26743D84">
      <w:pPr>
        <w:spacing w:before="0" w:after="0" w:line="600" w:lineRule="exact"/>
        <w:ind w:firstLine="640"/>
        <w:jc w:val="both"/>
        <w:rPr>
          <w:rFonts w:hint="default" w:ascii="Times New Roman Regular" w:hAnsi="Times New Roman Regular" w:eastAsia="仿宋_GB2312" w:cs="Times New Roman Regular"/>
          <w:b w:val="0"/>
          <w:color w:val="000000" w:themeColor="text1"/>
          <w:sz w:val="32"/>
          <w14:textFill>
            <w14:solidFill>
              <w14:schemeClr w14:val="tx1"/>
            </w14:solidFill>
          </w14:textFill>
        </w:rPr>
      </w:pPr>
      <w:r>
        <w:rPr>
          <w:rFonts w:hint="default" w:ascii="Times New Roman Regular" w:hAnsi="Times New Roman Regular" w:eastAsia="仿宋_GB2312" w:cs="Times New Roman Regular"/>
          <w:b w:val="0"/>
          <w:color w:val="000000" w:themeColor="text1"/>
          <w:sz w:val="32"/>
          <w:lang w:val="en-US" w:eastAsia="zh-CN"/>
          <w14:textFill>
            <w14:solidFill>
              <w14:schemeClr w14:val="tx1"/>
            </w14:solidFill>
          </w14:textFill>
        </w:rPr>
        <w:t>基于通用大模型底座，主要通过提示词工程优化与政策知识库动态关联，结合多轮对话上下文管理，持续强化模型在民政政策解读、办事指引及复杂问答场景中的理解精度与输出一致性。</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Times New Roman Regular">
    <w:panose1 w:val="02020503050405090304"/>
    <w:charset w:val="00"/>
    <w:family w:val="auto"/>
    <w:pitch w:val="default"/>
    <w:sig w:usb0="E0000AFF" w:usb1="00007843" w:usb2="00000001" w:usb3="00000000" w:csb0="400001BF" w:csb1="DFF70000"/>
  </w:font>
  <w:font w:name="小标宋体">
    <w:altName w:val="方正小标宋_GBK"/>
    <w:panose1 w:val="00000000000000000000"/>
    <w:charset w:val="00"/>
    <w:family w:val="auto"/>
    <w:pitch w:val="default"/>
    <w:sig w:usb0="00000000" w:usb1="00000000" w:usb2="00000000" w:usb3="00000000" w:csb0="00000000" w:csb1="00000000"/>
  </w:font>
  <w:font w:name="方正小标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 w:name="仿宋_GB2312">
    <w:panose1 w:val="02010609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76F3CB"/>
    <w:multiLevelType w:val="singleLevel"/>
    <w:tmpl w:val="ED76F3CB"/>
    <w:lvl w:ilvl="0" w:tentative="0">
      <w:start w:val="1"/>
      <w:numFmt w:val="chineseCounting"/>
      <w:suff w:val="nothing"/>
      <w:lvlText w:val="（%1）"/>
      <w:lvlJc w:val="left"/>
      <w:pPr>
        <w:ind w:left="0" w:firstLine="420"/>
      </w:pPr>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7BEC4F55"/>
    <w:multiLevelType w:val="singleLevel"/>
    <w:tmpl w:val="7BEC4F55"/>
    <w:lvl w:ilvl="0" w:tentative="0">
      <w:start w:val="1"/>
      <w:numFmt w:val="chineseCounting"/>
      <w:suff w:val="nothing"/>
      <w:lvlText w:val="（%1）"/>
      <w:lvlJc w:val="left"/>
      <w:pPr>
        <w:ind w:left="0" w:firstLine="420"/>
      </w:pPr>
      <w:rPr>
        <w:rFonts w:hint="eastAsia"/>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FCDA59"/>
    <w:rsid w:val="197D1D5A"/>
    <w:rsid w:val="1FFE3825"/>
    <w:rsid w:val="32BAD940"/>
    <w:rsid w:val="34FFFC7F"/>
    <w:rsid w:val="36F1E8D9"/>
    <w:rsid w:val="37DF6EB1"/>
    <w:rsid w:val="5FFF20F6"/>
    <w:rsid w:val="6DFE37D3"/>
    <w:rsid w:val="6FFF4E3C"/>
    <w:rsid w:val="73E79503"/>
    <w:rsid w:val="753D8A52"/>
    <w:rsid w:val="79F354F2"/>
    <w:rsid w:val="7BF7FC61"/>
    <w:rsid w:val="7C7FF8E8"/>
    <w:rsid w:val="7E9387E9"/>
    <w:rsid w:val="7F324030"/>
    <w:rsid w:val="7F3D6EEB"/>
    <w:rsid w:val="CD7ECE99"/>
    <w:rsid w:val="CFF3775E"/>
    <w:rsid w:val="E7679EBE"/>
    <w:rsid w:val="F1FF3F6F"/>
    <w:rsid w:val="F3FA4773"/>
    <w:rsid w:val="F3FF51DE"/>
    <w:rsid w:val="F3FFFDF1"/>
    <w:rsid w:val="F6BD20BF"/>
    <w:rsid w:val="F77F4733"/>
    <w:rsid w:val="F7AE5A2A"/>
    <w:rsid w:val="F99547C0"/>
    <w:rsid w:val="FFBA2484"/>
    <w:rsid w:val="FFFE63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240" w:line="360" w:lineRule="auto"/>
      <w:jc w:val="center"/>
      <w:outlineLvl w:val="0"/>
    </w:pPr>
    <w:rPr>
      <w:rFonts w:asciiTheme="majorHAnsi" w:hAnsiTheme="majorHAnsi" w:eastAsiaTheme="majorEastAsia" w:cstheme="majorBidi"/>
      <w:b/>
      <w:bCs/>
      <w:color w:val="000000"/>
      <w:sz w:val="44"/>
      <w:szCs w:val="28"/>
    </w:rPr>
  </w:style>
  <w:style w:type="paragraph" w:styleId="4">
    <w:name w:val="heading 2"/>
    <w:basedOn w:val="1"/>
    <w:next w:val="1"/>
    <w:link w:val="139"/>
    <w:unhideWhenUsed/>
    <w:qFormat/>
    <w:uiPriority w:val="9"/>
    <w:pPr>
      <w:keepNext/>
      <w:keepLines/>
      <w:spacing w:before="240" w:after="120" w:line="360" w:lineRule="auto"/>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0"/>
    <w:unhideWhenUsed/>
    <w:qFormat/>
    <w:uiPriority w:val="9"/>
    <w:pPr>
      <w:keepNext/>
      <w:keepLines/>
      <w:spacing w:before="120" w:after="120" w:line="360" w:lineRule="auto"/>
      <w:outlineLvl w:val="2"/>
    </w:pPr>
    <w:rPr>
      <w:rFonts w:asciiTheme="majorHAnsi" w:hAnsiTheme="majorHAnsi" w:eastAsiaTheme="majorEastAsia" w:cstheme="majorBidi"/>
      <w:b/>
      <w:bCs/>
      <w:color w:val="000000"/>
      <w:sz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小芸</cp:lastModifiedBy>
  <dcterms:modified xsi:type="dcterms:W3CDTF">2026-06-18T16:03:25Z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902D030D586C8CE5F455336AFDBC6BE8_42</vt:lpwstr>
  </property>
</Properties>
</file>