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Malgun Gothic" w:hAnsi="Malgun Gothic" w:eastAsia="Malgun Gothic"/>
          <w:b/>
          <w:color w:val="152E57"/>
          <w:sz w:val="42"/>
        </w:rPr>
        <w:t>토탈 AI-Ready 확장 방안 보고서</w:t>
      </w:r>
    </w:p>
    <w:p>
      <w:r>
        <w:rPr>
          <w:rFonts w:ascii="Malgun Gothic" w:hAnsi="Malgun Gothic" w:eastAsia="Malgun Gothic"/>
          <w:b w:val="0"/>
          <w:color w:val="5B6778"/>
          <w:sz w:val="21"/>
        </w:rPr>
        <w:t>부트캠프, 개발 표준, 데이터 모델링 표준, 튜닝 가이드, AI 코딩 에이전트 연동 전략</w:t>
      </w:r>
    </w:p>
    <w:tbl>
      <w:tblPr>
        <w:tblStyle w:val="TableGrid"/>
        <w:tblW w:type="auto" w:w="0"/>
        <w:jc w:val="left"/>
        <w:tblLook w:firstColumn="1" w:firstRow="1" w:lastColumn="0" w:lastRow="0" w:noHBand="0" w:noVBand="1" w:val="04A0"/>
      </w:tblPr>
      <w:tblGrid>
        <w:gridCol w:w="5128"/>
        <w:gridCol w:w="5128"/>
      </w:tblGrid>
      <w:tr>
        <w:tc>
          <w:tcPr>
            <w:tcW w:type="dxa" w:w="181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00" w:type="dxa"/>
              <w:start w:w="120" w:type="dxa"/>
              <w:bottom w:w="100" w:type="dxa"/>
              <w:end w:w="120" w:type="dxa"/>
            </w:tcMar>
            <w:vAlign w:val="center"/>
            <w:shd w:fill="F3F6FA"/>
          </w:tcPr>
          <w:p>
            <w:r>
              <w:rPr>
                <w:rFonts w:ascii="Malgun Gothic" w:hAnsi="Malgun Gothic" w:eastAsia="Malgun Gothic"/>
                <w:b/>
                <w:color w:val="475569"/>
                <w:sz w:val="19"/>
              </w:rPr>
              <w:t>작성일</w:t>
            </w:r>
          </w:p>
        </w:tc>
        <w:tc>
          <w:tcPr>
            <w:tcW w:type="dxa" w:w="7710"/>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00" w:type="dxa"/>
              <w:start w:w="120" w:type="dxa"/>
              <w:bottom w:w="100" w:type="dxa"/>
              <w:end w:w="120" w:type="dxa"/>
            </w:tcMar>
            <w:vAlign w:val="center"/>
          </w:tcPr>
          <w:p>
            <w:r>
              <w:rPr>
                <w:rFonts w:ascii="Malgun Gothic" w:hAnsi="Malgun Gothic" w:eastAsia="Malgun Gothic"/>
                <w:b w:val="0"/>
                <w:color w:val="1F2937"/>
                <w:sz w:val="19"/>
              </w:rPr>
              <w:t>2026-06-08</w:t>
            </w:r>
          </w:p>
        </w:tc>
      </w:tr>
      <w:tr>
        <w:tc>
          <w:tcPr>
            <w:tcW w:type="dxa" w:w="181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00" w:type="dxa"/>
              <w:start w:w="120" w:type="dxa"/>
              <w:bottom w:w="100" w:type="dxa"/>
              <w:end w:w="120" w:type="dxa"/>
            </w:tcMar>
            <w:vAlign w:val="center"/>
            <w:shd w:fill="F3F6FA"/>
          </w:tcPr>
          <w:p>
            <w:r>
              <w:rPr>
                <w:rFonts w:ascii="Malgun Gothic" w:hAnsi="Malgun Gothic" w:eastAsia="Malgun Gothic"/>
                <w:b/>
                <w:color w:val="475569"/>
                <w:sz w:val="19"/>
              </w:rPr>
              <w:t>범위</w:t>
            </w:r>
          </w:p>
        </w:tc>
        <w:tc>
          <w:tcPr>
            <w:tcW w:type="dxa" w:w="7710"/>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00" w:type="dxa"/>
              <w:start w:w="120" w:type="dxa"/>
              <w:bottom w:w="100" w:type="dxa"/>
              <w:end w:w="120" w:type="dxa"/>
            </w:tcMar>
            <w:vAlign w:val="center"/>
          </w:tcPr>
          <w:p>
            <w:r>
              <w:rPr>
                <w:rFonts w:ascii="Malgun Gothic" w:hAnsi="Malgun Gothic" w:eastAsia="Malgun Gothic"/>
                <w:b w:val="0"/>
                <w:color w:val="1F2937"/>
                <w:sz w:val="19"/>
              </w:rPr>
              <w:t>AI 백엔드 개발 표준, 엔코아 부트캠프, 표준 가이드, 온톨로지 기반 코딩 에이전트</w:t>
            </w:r>
          </w:p>
        </w:tc>
      </w:tr>
      <w:tr>
        <w:tc>
          <w:tcPr>
            <w:tcW w:type="dxa" w:w="181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00" w:type="dxa"/>
              <w:start w:w="120" w:type="dxa"/>
              <w:bottom w:w="100" w:type="dxa"/>
              <w:end w:w="120" w:type="dxa"/>
            </w:tcMar>
            <w:vAlign w:val="center"/>
            <w:shd w:fill="F3F6FA"/>
          </w:tcPr>
          <w:p>
            <w:r>
              <w:rPr>
                <w:rFonts w:ascii="Malgun Gothic" w:hAnsi="Malgun Gothic" w:eastAsia="Malgun Gothic"/>
                <w:b/>
                <w:color w:val="475569"/>
                <w:sz w:val="19"/>
              </w:rPr>
              <w:t>전제</w:t>
            </w:r>
          </w:p>
        </w:tc>
        <w:tc>
          <w:tcPr>
            <w:tcW w:type="dxa" w:w="7710"/>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00" w:type="dxa"/>
              <w:start w:w="120" w:type="dxa"/>
              <w:bottom w:w="100" w:type="dxa"/>
              <w:end w:w="120" w:type="dxa"/>
            </w:tcMar>
            <w:vAlign w:val="center"/>
          </w:tcPr>
          <w:p>
            <w:r>
              <w:rPr>
                <w:rFonts w:ascii="Malgun Gothic" w:hAnsi="Malgun Gothic" w:eastAsia="Malgun Gothic"/>
                <w:b w:val="0"/>
                <w:color w:val="1F2937"/>
                <w:sz w:val="19"/>
              </w:rPr>
              <w:t>OCP/튜닝교육/금융권 대량 데이터/DB 전공 경험을 토대로 교육-표준-플랫폼을 연결</w:t>
            </w:r>
          </w:p>
        </w:tc>
      </w:tr>
      <w:tr>
        <w:tc>
          <w:tcPr>
            <w:tcW w:type="dxa" w:w="181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00" w:type="dxa"/>
              <w:start w:w="120" w:type="dxa"/>
              <w:bottom w:w="100" w:type="dxa"/>
              <w:end w:w="120" w:type="dxa"/>
            </w:tcMar>
            <w:vAlign w:val="center"/>
            <w:shd w:fill="F3F6FA"/>
          </w:tcPr>
          <w:p>
            <w:r>
              <w:rPr>
                <w:rFonts w:ascii="Malgun Gothic" w:hAnsi="Malgun Gothic" w:eastAsia="Malgun Gothic"/>
                <w:b/>
                <w:color w:val="475569"/>
                <w:sz w:val="19"/>
              </w:rPr>
              <w:t>목표</w:t>
            </w:r>
          </w:p>
        </w:tc>
        <w:tc>
          <w:tcPr>
            <w:tcW w:type="dxa" w:w="7710"/>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00" w:type="dxa"/>
              <w:start w:w="120" w:type="dxa"/>
              <w:bottom w:w="100" w:type="dxa"/>
              <w:end w:w="120" w:type="dxa"/>
            </w:tcMar>
            <w:vAlign w:val="center"/>
          </w:tcPr>
          <w:p>
            <w:r>
              <w:rPr>
                <w:rFonts w:ascii="Malgun Gothic" w:hAnsi="Malgun Gothic" w:eastAsia="Malgun Gothic"/>
                <w:b w:val="0"/>
                <w:color w:val="1F2937"/>
                <w:sz w:val="19"/>
              </w:rPr>
              <w:t>AI가 기업 백엔드를 안전하게 개발/변경/검증할 수 있는 표준 체계 구축</w:t>
            </w:r>
          </w:p>
        </w:tc>
      </w:tr>
    </w:tbl>
    <w:p/>
    <w:p>
      <w:pPr>
        <w:pStyle w:val="Heading1"/>
      </w:pPr>
      <w:r>
        <w:t>1. 핵심 방향</w:t>
      </w:r>
    </w:p>
    <w:tbl>
      <w:tblPr>
        <w:tblW w:type="auto" w:w="0"/>
        <w:jc w:val="center"/>
        <w:tblLook w:firstColumn="1" w:firstRow="1" w:lastColumn="0" w:lastRow="0" w:noHBand="0" w:noVBand="1" w:val="04A0"/>
      </w:tblPr>
      <w:tblGrid>
        <w:gridCol w:w="10256"/>
      </w:tblGrid>
      <w:tr>
        <w:tc>
          <w:tcPr>
            <w:tcW w:type="dxa" w:w="10256"/>
            <w:shd w:fill="E6F7F4"/>
            <w:tcBorders>
              <w:top w:val="single" w:sz="8" w:space="0" w:color="C7D2FE"/>
              <w:left w:val="single" w:sz="8" w:space="0" w:color="C7D2FE"/>
              <w:bottom w:val="single" w:sz="8" w:space="0" w:color="C7D2FE"/>
              <w:right w:val="single" w:sz="8" w:space="0" w:color="C7D2FE"/>
              <w:insideH w:val="single" w:sz="8" w:space="0" w:color="C7D2FE"/>
              <w:insideV w:val="single" w:sz="8" w:space="0" w:color="C7D2FE"/>
            </w:tcBorders>
            <w:tcMar>
              <w:top w:w="140" w:type="dxa"/>
              <w:start w:w="160" w:type="dxa"/>
              <w:bottom w:w="140" w:type="dxa"/>
              <w:end w:w="160" w:type="dxa"/>
            </w:tcMar>
          </w:tcPr>
          <w:p>
            <w:r>
              <w:rPr>
                <w:rFonts w:ascii="Malgun Gothic" w:hAnsi="Malgun Gothic" w:eastAsia="Malgun Gothic"/>
                <w:b/>
                <w:color w:val="152E57"/>
                <w:sz w:val="21"/>
              </w:rPr>
              <w:t>전략 결론</w:t>
            </w:r>
          </w:p>
          <w:p>
            <w:r>
              <w:rPr>
                <w:rFonts w:ascii="Malgun Gothic" w:hAnsi="Malgun Gothic" w:eastAsia="Malgun Gothic"/>
                <w:b w:val="0"/>
                <w:color w:val="1F2937"/>
                <w:sz w:val="19"/>
              </w:rPr>
              <w:t>AI-Ready 확장은 온톨로지를 지식 그래프에 한정하지 않고, DB 모델, API, 테스트, 보안, 튜닝, 코드 리뷰, AI 코딩 에이전트의 공통 기준 언어로 확장하는 전략이다. 교육은 단기 매출과 인력 양성 채널이면서, 장기 플랫폼의 표준 검증장 역할을 한다.</w:t>
            </w:r>
          </w:p>
        </w:tc>
      </w:tr>
    </w:tbl>
    <w:p/>
    <w:p>
      <w:pPr>
        <w:pStyle w:val="ListBullet"/>
        <w:spacing w:after="40"/>
        <w:ind w:left="255"/>
      </w:pPr>
      <w:r>
        <w:rPr>
          <w:rFonts w:ascii="Malgun Gothic" w:hAnsi="Malgun Gothic" w:eastAsia="Malgun Gothic"/>
          <w:b w:val="0"/>
          <w:color w:val="1F2937"/>
          <w:sz w:val="19"/>
        </w:rPr>
        <w:t>부트캠프는 개발 표준 가이드 v1을 실전 검증하는 채널로 설계한다.</w:t>
      </w:r>
    </w:p>
    <w:p>
      <w:pPr>
        <w:pStyle w:val="ListBullet"/>
        <w:spacing w:after="40"/>
        <w:ind w:left="255"/>
      </w:pPr>
      <w:r>
        <w:rPr>
          <w:rFonts w:ascii="Malgun Gothic" w:hAnsi="Malgun Gothic" w:eastAsia="Malgun Gothic"/>
          <w:b w:val="0"/>
          <w:color w:val="1F2937"/>
          <w:sz w:val="19"/>
        </w:rPr>
        <w:t>개발 표준은 문서에서 끝내지 않고 템플릿, 코드 생성기, 품질 게이트, AI agent context API로 전환한다.</w:t>
      </w:r>
    </w:p>
    <w:p>
      <w:pPr>
        <w:pStyle w:val="ListBullet"/>
        <w:spacing w:after="40"/>
        <w:ind w:left="255"/>
      </w:pPr>
      <w:r>
        <w:rPr>
          <w:rFonts w:ascii="Malgun Gothic" w:hAnsi="Malgun Gothic" w:eastAsia="Malgun Gothic"/>
          <w:b w:val="0"/>
          <w:color w:val="1F2937"/>
          <w:sz w:val="19"/>
        </w:rPr>
        <w:t>데이터 모델링 표준과 튜닝 가이드는 엔코아 협업 시 가장 강한 차별화 자산이 된다.</w:t>
      </w:r>
    </w:p>
    <w:p>
      <w:pPr>
        <w:pStyle w:val="ListBullet"/>
        <w:spacing w:after="40"/>
        <w:ind w:left="255"/>
      </w:pPr>
      <w:r>
        <w:rPr>
          <w:rFonts w:ascii="Malgun Gothic" w:hAnsi="Malgun Gothic" w:eastAsia="Malgun Gothic"/>
          <w:b w:val="0"/>
          <w:color w:val="1F2937"/>
          <w:sz w:val="19"/>
        </w:rPr>
        <w:t>AI 코딩 에이전트는 자율 개발자가 아니라 표준을 따르는 controlled implementer로 포지셔닝한다.</w:t>
      </w:r>
    </w:p>
    <w:p>
      <w:pPr>
        <w:pStyle w:val="Heading1"/>
      </w:pPr>
      <w:r>
        <w:t>2. 제품/사업 확장 구조</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1417"/>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단계</w:t>
            </w:r>
          </w:p>
        </w:tc>
        <w:tc>
          <w:tcPr>
            <w:tcW w:type="dxa" w:w="2551"/>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산출물</w:t>
            </w:r>
          </w:p>
        </w:tc>
        <w:tc>
          <w:tcPr>
            <w:tcW w:type="dxa" w:w="2835"/>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역할</w:t>
            </w:r>
          </w:p>
        </w:tc>
        <w:tc>
          <w:tcPr>
            <w:tcW w:type="dxa" w:w="2891"/>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확장 포인트</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교육</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엔코아 부트캠프</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표준 기반 AI 백엔드 개발자 양성</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수강생/고객 피드백으로 표준 검증</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문서</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개발 표준 가이드</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API/서비스/DB/테스트/보안 기준</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기업별 커스터마이징</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자동화</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표준 템플릿/검사기</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코드 생성과 리뷰 자동화</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CI/CD 품질 게이트</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모델링</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데이터 모델링 표준 가이드</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온톨로지와 RDB 모델 연결</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엔코아 방법론 연계</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튜닝</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AI-ready 튜닝 가이드</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대용량 쿼리와 RAG 검색 성능 확보</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금융/공공 PoC 대응</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플랫폼</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AI Coding Agent Context Server</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AI 에이전트가 표준과 온톨로지를 조회</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엔터프라이즈 개발 운영 플랫폼</w:t>
            </w:r>
          </w:p>
        </w:tc>
      </w:tr>
    </w:tbl>
    <w:p/>
    <w:p>
      <w:pPr>
        <w:pStyle w:val="Heading1"/>
      </w:pPr>
      <w:r>
        <w:t>3. AI 백엔드 개발 표준 범위</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2041"/>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표준 영역</w:t>
            </w:r>
          </w:p>
        </w:tc>
        <w:tc>
          <w:tcPr>
            <w:tcW w:type="dxa" w:w="3515"/>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규정할 내용</w:t>
            </w:r>
          </w:p>
        </w:tc>
        <w:tc>
          <w:tcPr>
            <w:tcW w:type="dxa" w:w="3855"/>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AI 에이전트 연동</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API 설계</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resource naming, endpoint contract, pagination, error schema</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API scaffold와 contract test 생성</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도메인 모델</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entity/value object/service/repository 구분</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온톨로지 class/property 기반 코드 골격 생성</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DB 변경</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migration, rollback, FK/index, 이력 테이블 기준</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변경 영향도 분석 후 migration draft 생성</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보안/권한</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role, data scope, row-level access, audit</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권한 누락 코드 리뷰와 guard 생성</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테스트</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unit/integration/e2e/performance test 최소 기준</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테스트 케이스 자동 제안</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운영성</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logging, tracing, metrics, failure handling</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관측성 표준 누락 탐지</w:t>
            </w:r>
          </w:p>
        </w:tc>
      </w:tr>
    </w:tbl>
    <w:p/>
    <w:p>
      <w:pPr>
        <w:pStyle w:val="Heading1"/>
      </w:pPr>
      <w:r>
        <w:t>4. 데이터 모델링 표준 확장</w:t>
      </w:r>
    </w:p>
    <w:p>
      <w:pPr>
        <w:pStyle w:val="ListBullet"/>
        <w:spacing w:after="40"/>
        <w:ind w:left="255"/>
      </w:pPr>
      <w:r>
        <w:rPr>
          <w:rFonts w:ascii="Malgun Gothic" w:hAnsi="Malgun Gothic" w:eastAsia="Malgun Gothic"/>
          <w:b w:val="0"/>
          <w:color w:val="1F2937"/>
          <w:sz w:val="19"/>
        </w:rPr>
        <w:t>표준 용어, 엔터티, 속성, 관계, 식별자, 코드성 데이터, 이력 모델링 기준을 온톨로지 메타모델과 연결한다.</w:t>
      </w:r>
    </w:p>
    <w:p>
      <w:pPr>
        <w:pStyle w:val="ListBullet"/>
        <w:spacing w:after="40"/>
        <w:ind w:left="255"/>
      </w:pPr>
      <w:r>
        <w:rPr>
          <w:rFonts w:ascii="Malgun Gothic" w:hAnsi="Malgun Gothic" w:eastAsia="Malgun Gothic"/>
          <w:b w:val="0"/>
          <w:color w:val="1F2937"/>
          <w:sz w:val="19"/>
        </w:rPr>
        <w:t>RDB 테이블/컬럼/관계를 ontology_class, ontology_property, ontology_relation으로 매핑하는 규칙을 표준화한다.</w:t>
      </w:r>
    </w:p>
    <w:p>
      <w:pPr>
        <w:pStyle w:val="ListBullet"/>
        <w:spacing w:after="40"/>
        <w:ind w:left="255"/>
      </w:pPr>
      <w:r>
        <w:rPr>
          <w:rFonts w:ascii="Malgun Gothic" w:hAnsi="Malgun Gothic" w:eastAsia="Malgun Gothic"/>
          <w:b w:val="0"/>
          <w:color w:val="1F2937"/>
          <w:sz w:val="19"/>
        </w:rPr>
        <w:t>모델 변경 시 API, 쿼리, AI 답변, 워크플로우에 미치는 영향을 자동 산출하는 영향도 분석 체계를 만든다.</w:t>
      </w:r>
    </w:p>
    <w:p>
      <w:pPr>
        <w:pStyle w:val="ListBullet"/>
        <w:spacing w:after="40"/>
        <w:ind w:left="255"/>
      </w:pPr>
      <w:r>
        <w:rPr>
          <w:rFonts w:ascii="Malgun Gothic" w:hAnsi="Malgun Gothic" w:eastAsia="Malgun Gothic"/>
          <w:b w:val="0"/>
          <w:color w:val="1F2937"/>
          <w:sz w:val="19"/>
        </w:rPr>
        <w:t>엔코아의 데이터 품질/거버넌스 경험을 온톨로지 품질 게이트로 제품화한다.</w:t>
      </w:r>
    </w:p>
    <w:p>
      <w:pPr>
        <w:pStyle w:val="Heading1"/>
      </w:pPr>
      <w:r>
        <w:t>5. 튜닝 가이드 확장</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1928"/>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튜닝 영역</w:t>
            </w:r>
          </w:p>
        </w:tc>
        <w:tc>
          <w:tcPr>
            <w:tcW w:type="dxa" w:w="3515"/>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핵심 주제</w:t>
            </w:r>
          </w:p>
        </w:tc>
        <w:tc>
          <w:tcPr>
            <w:tcW w:type="dxa" w:w="3742"/>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제품화 방식</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RDB 튜닝</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실행계획, 인덱스, 조인 순서, 통계정보</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튜닝 체크리스트와 query advisor</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온톨로지 쿼리</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1-hop/2-hop/3-hop 탐색, relation index, materialized path</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핫패스 벤치마크와 SQL rewrite</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JSONB/ROW 하이브리드</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확장성 vs 인덱싱 성능 선택 기준</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projection table 추천</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RAG 검색</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vector + keyword + graph hybrid retrieval</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근거 recall/latency 동시 측정</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캐싱</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query result cache, embedding cache, semantic cache</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캐시 무효화 정책과 hit-rate 대시보드</w:t>
            </w:r>
          </w:p>
        </w:tc>
      </w:tr>
    </w:tbl>
    <w:p/>
    <w:p>
      <w:pPr>
        <w:pStyle w:val="Heading1"/>
      </w:pPr>
      <w:r>
        <w:t>6. AI Coding Agent Context Server</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1928"/>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기능</w:t>
            </w:r>
          </w:p>
        </w:tc>
        <w:tc>
          <w:tcPr>
            <w:tcW w:type="dxa" w:w="3515"/>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설명</w:t>
            </w:r>
          </w:p>
        </w:tc>
        <w:tc>
          <w:tcPr>
            <w:tcW w:type="dxa" w:w="3742"/>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필수 API 예시</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표준 조회</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개발 표준, 금지 패턴, 필수 테스트 기준 제공</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GET /standards/backend</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온톨로지 조회</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class/property/relation/action metadata 제공</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GET /ontology/classes/{id}</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코드 컨텍스트</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기존 서비스/DTO/repository 구조 검색</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GET /code/context?domain=...</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영향도 분석</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모델 변경이 API/DB/테스트/문서에 미치는 영향 산출</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POST /impact/analyze</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작업지시 생성</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AI 에이전트가 수행할 안전한 task spec 생성</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POST /agent/tasks</w:t>
            </w:r>
          </w:p>
        </w:tc>
      </w:tr>
      <w:tr>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검증</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표준 위반, 테스트 누락, 보안 누락 검사</w:t>
            </w:r>
          </w:p>
        </w:tc>
        <w:tc>
          <w:tcPr>
            <w:tcW w:type="dxa" w:w="3419"/>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POST /agent/validate</w:t>
            </w:r>
          </w:p>
        </w:tc>
      </w:tr>
    </w:tbl>
    <w:p/>
    <w:p>
      <w:pPr>
        <w:pStyle w:val="Heading1"/>
      </w:pPr>
      <w:r>
        <w:t>7. 6개월~2년 실행 로드맵</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1474"/>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기간</w:t>
            </w:r>
          </w:p>
        </w:tc>
        <w:tc>
          <w:tcPr>
            <w:tcW w:type="dxa" w:w="2438"/>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중점</w:t>
            </w:r>
          </w:p>
        </w:tc>
        <w:tc>
          <w:tcPr>
            <w:tcW w:type="dxa" w:w="3628"/>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주요 산출물</w:t>
            </w:r>
          </w:p>
        </w:tc>
        <w:tc>
          <w:tcPr>
            <w:tcW w:type="dxa" w:w="2721"/>
            <w:shd w:fill="152E57"/>
            <w:tcBorders>
              <w:top w:val="single" w:sz="8" w:space="0" w:color="B8C2D6"/>
              <w:left w:val="single" w:sz="8" w:space="0" w:color="B8C2D6"/>
              <w:bottom w:val="single" w:sz="8" w:space="0" w:color="B8C2D6"/>
              <w:right w:val="single" w:sz="8" w:space="0" w:color="B8C2D6"/>
              <w:insideH w:val="single" w:sz="8" w:space="0" w:color="B8C2D6"/>
              <w:insideV w:val="single" w:sz="8" w:space="0" w:color="B8C2D6"/>
            </w:tcBorders>
            <w:tcMar>
              <w:top w:w="120" w:type="dxa"/>
              <w:start w:w="120" w:type="dxa"/>
              <w:bottom w:w="120" w:type="dxa"/>
              <w:end w:w="120" w:type="dxa"/>
            </w:tcMar>
            <w:vAlign w:val="center"/>
          </w:tcPr>
          <w:p>
            <w:pPr>
              <w:jc w:val="center"/>
            </w:pPr>
            <w:r>
              <w:rPr>
                <w:rFonts w:ascii="Malgun Gothic" w:hAnsi="Malgun Gothic" w:eastAsia="Malgun Gothic"/>
                <w:b/>
                <w:color w:val="FFFFFF"/>
                <w:sz w:val="18"/>
              </w:rPr>
              <w:t>판정 기준</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0~3개월</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표준 v1과 교육 MVP</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부트캠프 커리큘럼, 개발 표준 가이드, 예제 프로젝트</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교육/PoC에서 반복 가능한 개발 패턴 확보</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3~6개월</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표준 자동화</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코드 템플릿, API scaffold, 테스트 scaffold, agent context API v1</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AI 생성 코드의 표준 준수율 측정</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center"/>
            </w:pPr>
            <w:r>
              <w:rPr>
                <w:rFonts w:ascii="Malgun Gothic" w:hAnsi="Malgun Gothic" w:eastAsia="Malgun Gothic"/>
                <w:b w:val="0"/>
                <w:color w:val="1F2937"/>
                <w:sz w:val="17"/>
              </w:rPr>
              <w:t>6~12개월</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모델링/온톨로지 결합</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데이터 모델링 표준, 온톨로지 매핑, 영향도 분석</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shd w:fill="FBFCFE"/>
          </w:tcPr>
          <w:p>
            <w:pPr>
              <w:jc w:val="left"/>
            </w:pPr>
            <w:r>
              <w:rPr>
                <w:rFonts w:ascii="Malgun Gothic" w:hAnsi="Malgun Gothic" w:eastAsia="Malgun Gothic"/>
                <w:b w:val="0"/>
                <w:color w:val="1F2937"/>
                <w:sz w:val="17"/>
              </w:rPr>
              <w:t>실제 기업 DB 1건 이상 매핑 검증</w:t>
            </w:r>
          </w:p>
        </w:tc>
      </w:tr>
      <w:tr>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center"/>
            </w:pPr>
            <w:r>
              <w:rPr>
                <w:rFonts w:ascii="Malgun Gothic" w:hAnsi="Malgun Gothic" w:eastAsia="Malgun Gothic"/>
                <w:b w:val="0"/>
                <w:color w:val="1F2937"/>
                <w:sz w:val="17"/>
              </w:rPr>
              <w:t>12~24개월</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토탈 AI-ready 플랫폼</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튜닝 advisor, workflow/action, governance, CI/CD 연동</w:t>
            </w:r>
          </w:p>
        </w:tc>
        <w:tc>
          <w:tcPr>
            <w:tcW w:type="dxa" w:w="2564"/>
            <w:tcBorders>
              <w:top w:val="single" w:sz="8" w:space="0" w:color="D8DEE9"/>
              <w:left w:val="single" w:sz="8" w:space="0" w:color="D8DEE9"/>
              <w:bottom w:val="single" w:sz="8" w:space="0" w:color="D8DEE9"/>
              <w:right w:val="single" w:sz="8" w:space="0" w:color="D8DEE9"/>
              <w:insideH w:val="single" w:sz="8" w:space="0" w:color="D8DEE9"/>
              <w:insideV w:val="single" w:sz="8" w:space="0" w:color="D8DEE9"/>
            </w:tcBorders>
            <w:tcMar>
              <w:top w:w="110" w:type="dxa"/>
              <w:start w:w="120" w:type="dxa"/>
              <w:bottom w:w="110" w:type="dxa"/>
              <w:end w:w="120" w:type="dxa"/>
            </w:tcMar>
            <w:vAlign w:val="center"/>
          </w:tcPr>
          <w:p>
            <w:pPr>
              <w:jc w:val="left"/>
            </w:pPr>
            <w:r>
              <w:rPr>
                <w:rFonts w:ascii="Malgun Gothic" w:hAnsi="Malgun Gothic" w:eastAsia="Malgun Gothic"/>
                <w:b w:val="0"/>
                <w:color w:val="1F2937"/>
                <w:sz w:val="17"/>
              </w:rPr>
              <w:t>금융/공공/제조 PoC 레퍼런스 확보</w:t>
            </w:r>
          </w:p>
        </w:tc>
      </w:tr>
    </w:tbl>
    <w:p/>
    <w:p>
      <w:pPr>
        <w:pStyle w:val="Heading1"/>
      </w:pPr>
      <w:r>
        <w:t>8. 우선순위</w:t>
      </w:r>
    </w:p>
    <w:p>
      <w:pPr>
        <w:pStyle w:val="ListNumber"/>
        <w:spacing w:after="40"/>
        <w:ind w:left="312"/>
      </w:pPr>
      <w:r>
        <w:rPr>
          <w:rFonts w:ascii="Malgun Gothic" w:hAnsi="Malgun Gothic" w:eastAsia="Malgun Gothic"/>
          <w:b w:val="0"/>
          <w:color w:val="1F2937"/>
          <w:sz w:val="19"/>
        </w:rPr>
        <w:t>개발 표준 가이드 v1을 먼저 만든다. 교육, 코드 생성, 에이전트 연동의 기준점이 된다.</w:t>
      </w:r>
    </w:p>
    <w:p>
      <w:pPr>
        <w:pStyle w:val="ListNumber"/>
        <w:spacing w:after="40"/>
        <w:ind w:left="312"/>
      </w:pPr>
      <w:r>
        <w:rPr>
          <w:rFonts w:ascii="Malgun Gothic" w:hAnsi="Malgun Gothic" w:eastAsia="Malgun Gothic"/>
          <w:b w:val="0"/>
          <w:color w:val="1F2937"/>
          <w:sz w:val="19"/>
        </w:rPr>
        <w:t>온톨로지 canonical schema와 DB 매핑 표준을 병행 설계한다. 이것이 장기 제품의 중심축이다.</w:t>
      </w:r>
    </w:p>
    <w:p>
      <w:pPr>
        <w:pStyle w:val="ListNumber"/>
        <w:spacing w:after="40"/>
        <w:ind w:left="312"/>
      </w:pPr>
      <w:r>
        <w:rPr>
          <w:rFonts w:ascii="Malgun Gothic" w:hAnsi="Malgun Gothic" w:eastAsia="Malgun Gothic"/>
          <w:b w:val="0"/>
          <w:color w:val="1F2937"/>
          <w:sz w:val="19"/>
        </w:rPr>
        <w:t>AI 코딩 에이전트는 초기에는 scaffold와 review assistant로 제한한다.</w:t>
      </w:r>
    </w:p>
    <w:p>
      <w:pPr>
        <w:pStyle w:val="ListNumber"/>
        <w:spacing w:after="40"/>
        <w:ind w:left="312"/>
      </w:pPr>
      <w:r>
        <w:rPr>
          <w:rFonts w:ascii="Malgun Gothic" w:hAnsi="Malgun Gothic" w:eastAsia="Malgun Gothic"/>
          <w:b w:val="0"/>
          <w:color w:val="1F2937"/>
          <w:sz w:val="19"/>
        </w:rPr>
        <w:t>튜닝 가이드는 6개월 이후 실제 벤치마크와 함께 확장한다.</w:t>
      </w:r>
    </w:p>
    <w:p>
      <w:pPr>
        <w:pStyle w:val="ListNumber"/>
        <w:spacing w:after="40"/>
        <w:ind w:left="312"/>
      </w:pPr>
      <w:r>
        <w:rPr>
          <w:rFonts w:ascii="Malgun Gothic" w:hAnsi="Malgun Gothic" w:eastAsia="Malgun Gothic"/>
          <w:b w:val="0"/>
          <w:color w:val="1F2937"/>
          <w:sz w:val="19"/>
        </w:rPr>
        <w:t>워크플로우/action type은 온톨로지와 개발 표준이 안정된 뒤 12개월 이후 본격화한다.</w:t>
      </w:r>
    </w:p>
    <w:p>
      <w:pPr>
        <w:pStyle w:val="Heading1"/>
      </w:pPr>
      <w:r>
        <w:t>참고 공개 자료</w:t>
      </w:r>
    </w:p>
    <w:p>
      <w:pPr>
        <w:pStyle w:val="ListBullet"/>
        <w:ind w:left="255"/>
      </w:pPr>
      <w:r>
        <w:rPr>
          <w:rFonts w:ascii="Malgun Gothic" w:hAnsi="Malgun Gothic" w:eastAsia="Malgun Gothic"/>
          <w:b w:val="0"/>
          <w:color w:val="5B6778"/>
          <w:sz w:val="17"/>
        </w:rPr>
        <w:t>Palantir Ontology overview: https://www.palantir.com/docs/foundry/ontology/overview</w:t>
      </w:r>
    </w:p>
    <w:p>
      <w:pPr>
        <w:pStyle w:val="ListBullet"/>
        <w:ind w:left="255"/>
      </w:pPr>
      <w:r>
        <w:rPr>
          <w:rFonts w:ascii="Malgun Gothic" w:hAnsi="Malgun Gothic" w:eastAsia="Malgun Gothic"/>
          <w:b w:val="0"/>
          <w:color w:val="5B6778"/>
          <w:sz w:val="17"/>
        </w:rPr>
        <w:t>Palantir Action types overview: https://www.palantir.com/docs/foundry/action-types/overview</w:t>
      </w:r>
    </w:p>
    <w:p>
      <w:pPr>
        <w:pStyle w:val="ListBullet"/>
        <w:ind w:left="255"/>
      </w:pPr>
      <w:r>
        <w:rPr>
          <w:rFonts w:ascii="Malgun Gothic" w:hAnsi="Malgun Gothic" w:eastAsia="Malgun Gothic"/>
          <w:b w:val="0"/>
          <w:color w:val="5B6778"/>
          <w:sz w:val="17"/>
        </w:rPr>
        <w:t>W3C SPARQL 1.1 Query Language: https://www.w3.org/TR/sparql11-query/</w:t>
      </w:r>
    </w:p>
    <w:p>
      <w:pPr>
        <w:pStyle w:val="ListBullet"/>
        <w:ind w:left="255"/>
      </w:pPr>
      <w:r>
        <w:rPr>
          <w:rFonts w:ascii="Malgun Gothic" w:hAnsi="Malgun Gothic" w:eastAsia="Malgun Gothic"/>
          <w:b w:val="0"/>
          <w:color w:val="5B6778"/>
          <w:sz w:val="17"/>
        </w:rPr>
        <w:t>엔코아 데이터 컨설팅/솔루션 공개 소개: https://www.sharedit.co.kr/partners/1271</w:t>
      </w:r>
    </w:p>
    <w:p>
      <w:pPr>
        <w:pStyle w:val="ListBullet"/>
        <w:ind w:left="255"/>
      </w:pPr>
      <w:r>
        <w:rPr>
          <w:rFonts w:ascii="Malgun Gothic" w:hAnsi="Malgun Gothic" w:eastAsia="Malgun Gothic"/>
          <w:b w:val="0"/>
          <w:color w:val="5B6778"/>
          <w:sz w:val="17"/>
        </w:rPr>
        <w:t>BI매트릭스 TRINITY 온프레미스 AI 보도: https://zdnet.co.kr/view/?no=20260423180720</w:t>
      </w:r>
    </w:p>
    <w:sectPr w:rsidR="00FC693F" w:rsidRPr="0006063C" w:rsidSect="00034616">
      <w:pgSz w:w="12240" w:h="15840"/>
      <w:pgMar w:top="964" w:right="992" w:bottom="964"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Malgun Gothic" w:hAnsi="Malgun Gothic" w:eastAsia="Malgun Gothic"/>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algun Gothic" w:hAnsi="Malgun Gothic" w:eastAsia="Malgun Gothic"/>
      <w:b/>
      <w:bCs/>
      <w:color w:val="152E57"/>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Malgun Gothic" w:hAnsi="Malgun Gothic" w:eastAsia="Malgun Gothic"/>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Malgun Gothic" w:hAnsi="Malgun Gothic" w:eastAsia="Malgun Gothic"/>
      <w:b/>
      <w:bCs/>
      <w:color w:val="0D948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40"/>
      <w:contextualSpacing/>
    </w:pPr>
    <w:rPr>
      <w:rFonts w:asciiTheme="majorHAnsi" w:eastAsiaTheme="majorEastAsia" w:hAnsiTheme="majorHAnsi" w:cstheme="majorBidi" w:ascii="Malgun Gothic" w:hAnsi="Malgun Gothic" w:eastAsia="Malgun Gothic"/>
      <w:b/>
      <w:color w:val="152E5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