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564"/>
          <w:sz w:val="44"/>
        </w:rPr>
        <w:t>엔터프라이즈 RAG 표준 기본설계서</w:t>
      </w:r>
    </w:p>
    <w:p>
      <w:pPr>
        <w:jc w:val="center"/>
      </w:pPr>
      <w:r>
        <w:rPr>
          <w:b/>
          <w:color w:val="2E5496"/>
          <w:sz w:val="32"/>
        </w:rPr>
        <w:t>v1.3</w:t>
      </w:r>
    </w:p>
    <w:p/>
    <w:p>
      <w:pPr>
        <w:jc w:val="center"/>
      </w:pPr>
      <w:r>
        <w:rPr>
          <w:color w:val="555555"/>
          <w:sz w:val="22"/>
        </w:rPr>
        <w:t>작성일: 2026-05-15</w:t>
      </w:r>
    </w:p>
    <w:p>
      <w:r>
        <w:br w:type="page"/>
      </w:r>
    </w:p>
    <w:p>
      <w:pPr>
        <w:spacing w:before="160" w:after="80"/>
      </w:pPr>
      <w:r>
        <w:rPr>
          <w:b/>
          <w:color w:val="2E5496"/>
          <w:sz w:val="26"/>
        </w:rPr>
        <w:t>버전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417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7087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주요 변경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2026-05-14</w:t>
            </w:r>
          </w:p>
        </w:tc>
        <w:tc>
          <w:tcPr>
            <w:tcW w:type="dxa" w:w="7087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초안 작성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v1.1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2026-05-14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company_id 메타데이터 필수화 · X-Company-ID 헤더 표준 신설 · 용어 통일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v1.2</w:t>
            </w:r>
          </w:p>
        </w:tc>
        <w:tc>
          <w:tcPr>
            <w:tcW w:type="dxa" w:w="1417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2026-05-14</w:t>
            </w:r>
          </w:p>
        </w:tc>
        <w:tc>
          <w:tcPr>
            <w:tcW w:type="dxa" w:w="7087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tenant_id / org_id 계층 구조 도입 · Index Swap 패턴 추가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v1.3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2026-05-15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보안 및 정합성 강화: X-Tenant-ID 필수화(Fallback 금지) · OR 조건 검색 정책 · RDBMS 복합키(Composite PK) 설계 도입 · dept_code 기반 부서 필터링 명확화 · tags 메타데이터 Scalar 제한</w:t>
            </w:r>
          </w:p>
        </w:tc>
      </w:tr>
    </w:tbl>
    <w:p/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3564"/>
          <w:sz w:val="32"/>
        </w:rPr>
        <w:t>1. 개요 및 설계 원칙</w:t>
      </w:r>
    </w:p>
    <w:p>
      <w:pPr>
        <w:spacing w:before="160" w:after="80"/>
      </w:pPr>
      <w:r>
        <w:rPr>
          <w:b/>
          <w:color w:val="2E5496"/>
          <w:sz w:val="26"/>
        </w:rPr>
        <w:t>1.1 핵심 아키텍처 원칙 (Core Principles)</w:t>
      </w:r>
    </w:p>
    <w:p>
      <w:pPr>
        <w:pStyle w:val="ListBullet"/>
        <w:spacing w:after="40"/>
      </w:pPr>
      <w:r>
        <w:rPr>
          <w:b/>
          <w:sz w:val="20"/>
        </w:rPr>
        <w:t xml:space="preserve">물리적 분리 (MSA 기반): </w:t>
      </w:r>
      <w:r>
        <w:rPr>
          <w:b w:val="0"/>
          <w:sz w:val="20"/>
        </w:rPr>
        <w:t xml:space="preserve">LLM 추론 서버와 Vector DB 영역은 물리적으로 분리 가능해야 하며, </w:t>
      </w:r>
      <w:r>
        <w:rPr>
          <w:rFonts w:ascii="Courier New" w:hAnsi="Courier New"/>
          <w:b w:val="0"/>
          <w:sz w:val="20"/>
        </w:rPr>
        <w:t>Remote Retriever</w:t>
      </w:r>
      <w:r>
        <w:rPr>
          <w:b w:val="0"/>
          <w:sz w:val="20"/>
        </w:rPr>
        <w:t xml:space="preserve"> 패턴을 지향합니다.</w:t>
      </w:r>
    </w:p>
    <w:p>
      <w:pPr>
        <w:pStyle w:val="ListBullet"/>
        <w:spacing w:after="40"/>
      </w:pPr>
      <w:r>
        <w:rPr>
          <w:b/>
          <w:sz w:val="20"/>
        </w:rPr>
        <w:t xml:space="preserve">멀티테넌트 격리 (Strict Isolation): </w:t>
      </w:r>
      <w:r>
        <w:rPr>
          <w:b w:val="0"/>
          <w:sz w:val="20"/>
        </w:rPr>
        <w:t xml:space="preserve">모든 데이터 저장·검색 시 </w:t>
      </w:r>
      <w:r>
        <w:rPr>
          <w:rFonts w:ascii="Courier New" w:hAnsi="Courier New"/>
          <w:b w:val="0"/>
          <w:sz w:val="20"/>
        </w:rPr>
        <w:t>tenant_id</w:t>
      </w:r>
      <w:r>
        <w:rPr>
          <w:b w:val="0"/>
          <w:sz w:val="20"/>
        </w:rPr>
        <w:t>를 기반으로 물리적/논리적 격리를 강제합니다. 헤더 누락 시 "default" 처리를 금지하고 명시적 오류(400 Bad Request)를 반환합니다.</w:t>
      </w:r>
    </w:p>
    <w:p>
      <w:pPr>
        <w:pStyle w:val="ListBullet"/>
        <w:spacing w:after="40"/>
      </w:pPr>
      <w:r>
        <w:rPr>
          <w:b/>
          <w:sz w:val="20"/>
        </w:rPr>
        <w:t xml:space="preserve">계층적 지식 공유 (Hierarchical Knowledge): </w:t>
      </w:r>
      <w:r>
        <w:rPr>
          <w:b w:val="0"/>
          <w:sz w:val="20"/>
        </w:rPr>
        <w:t>테넌트(회사) 단위 격리를 유지하되, 조직 코드(</w:t>
      </w:r>
      <w:r>
        <w:rPr>
          <w:rFonts w:ascii="Courier New" w:hAnsi="Courier New"/>
          <w:b w:val="0"/>
          <w:sz w:val="20"/>
        </w:rPr>
        <w:t>org_id</w:t>
      </w:r>
      <w:r>
        <w:rPr>
          <w:b w:val="0"/>
          <w:sz w:val="20"/>
        </w:rPr>
        <w:t>)를 통해 부서/팀 단위의 미세 권한 제어 및 전사 공유 지식 조회를 지원합니다.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3564"/>
          <w:sz w:val="32"/>
        </w:rPr>
        <w:t>2. RAG 핵심 컴포넌트 설계 표준</w:t>
      </w:r>
    </w:p>
    <w:p>
      <w:pPr>
        <w:spacing w:before="160" w:after="80"/>
      </w:pPr>
      <w:r>
        <w:rPr>
          <w:b/>
          <w:color w:val="2E5496"/>
          <w:sz w:val="26"/>
        </w:rPr>
        <w:t>2.1. 임베딩 대상 문서 관리</w:t>
      </w:r>
    </w:p>
    <w:p>
      <w:pPr>
        <w:pStyle w:val="ListBullet"/>
        <w:spacing w:after="40"/>
      </w:pPr>
      <w:r>
        <w:rPr>
          <w:b/>
          <w:sz w:val="20"/>
        </w:rPr>
        <w:t xml:space="preserve">원본/가공 데이터 분리: </w:t>
      </w:r>
      <w:r>
        <w:rPr>
          <w:b w:val="0"/>
          <w:sz w:val="20"/>
        </w:rPr>
        <w:t>Raw Document와 Processed Data의 보관소를 분리합니다.</w:t>
      </w:r>
    </w:p>
    <w:p>
      <w:pPr>
        <w:pStyle w:val="ListBullet"/>
        <w:spacing w:after="40"/>
      </w:pPr>
      <w:r>
        <w:rPr>
          <w:b/>
          <w:sz w:val="20"/>
        </w:rPr>
        <w:t xml:space="preserve">증분 업데이트(Incremental Update): </w:t>
      </w:r>
      <w:r>
        <w:rPr>
          <w:b w:val="0"/>
          <w:sz w:val="20"/>
        </w:rPr>
        <w:t xml:space="preserve">문서 갱신 시 </w:t>
      </w:r>
      <w:r>
        <w:rPr>
          <w:rFonts w:ascii="Courier New" w:hAnsi="Courier New"/>
          <w:b w:val="0"/>
          <w:sz w:val="20"/>
        </w:rPr>
        <w:t>doc_id</w:t>
      </w:r>
      <w:r>
        <w:rPr>
          <w:b w:val="0"/>
          <w:sz w:val="20"/>
        </w:rPr>
        <w:t xml:space="preserve"> 기준 기존 청크 삭제 후 새 청크를 삽입하며 버전을 관리합니다.</w:t>
      </w:r>
    </w:p>
    <w:p>
      <w:pPr>
        <w:spacing w:before="160" w:after="80"/>
      </w:pPr>
      <w:r>
        <w:rPr>
          <w:b/>
          <w:color w:val="2E5496"/>
          <w:sz w:val="26"/>
        </w:rPr>
        <w:t>2.2. 벡터 DB 관리 및 라우팅</w:t>
      </w:r>
    </w:p>
    <w:p>
      <w:pPr>
        <w:pStyle w:val="ListBullet"/>
        <w:spacing w:after="40"/>
      </w:pPr>
      <w:r>
        <w:rPr>
          <w:b/>
          <w:sz w:val="20"/>
        </w:rPr>
        <w:t xml:space="preserve">Routing Registry: </w:t>
      </w:r>
      <w:r>
        <w:rPr>
          <w:rFonts w:ascii="Courier New" w:hAnsi="Courier New"/>
          <w:b w:val="0"/>
          <w:sz w:val="20"/>
        </w:rPr>
        <w:t>routing.json</w:t>
      </w:r>
      <w:r>
        <w:rPr>
          <w:b w:val="0"/>
          <w:sz w:val="20"/>
        </w:rPr>
        <w:t xml:space="preserve"> 또는 RDBMS 기반의 라우팅 테이블을 통해 </w:t>
      </w:r>
      <w:r>
        <w:rPr>
          <w:rFonts w:ascii="Courier New" w:hAnsi="Courier New"/>
          <w:b w:val="0"/>
          <w:sz w:val="20"/>
        </w:rPr>
        <w:t>vector_db_id</w:t>
      </w:r>
      <w:r>
        <w:rPr>
          <w:b w:val="0"/>
          <w:sz w:val="20"/>
        </w:rPr>
        <w:t>별 엔진(Chroma/Qdrant/LocalJson) 및 컬렉션을 동적으로 매칭합니다.</w:t>
      </w:r>
    </w:p>
    <w:p>
      <w:pPr>
        <w:pStyle w:val="ListBullet"/>
        <w:spacing w:after="40"/>
      </w:pPr>
      <w:r>
        <w:rPr>
          <w:b/>
          <w:sz w:val="20"/>
        </w:rPr>
        <w:t xml:space="preserve">임베딩 일관성: </w:t>
      </w:r>
      <w:r>
        <w:rPr>
          <w:b w:val="0"/>
          <w:sz w:val="20"/>
        </w:rPr>
        <w:t>저장/검색 시 동일 모델을 사용하며, Vector DB 어댑터에서 임베딩을 직접 생성하여 전달(</w:t>
      </w:r>
      <w:r>
        <w:rPr>
          <w:rFonts w:ascii="Courier New" w:hAnsi="Courier New"/>
          <w:b w:val="0"/>
          <w:sz w:val="20"/>
        </w:rPr>
        <w:t>embeddings=</w:t>
      </w:r>
      <w:r>
        <w:rPr>
          <w:b w:val="0"/>
          <w:sz w:val="20"/>
        </w:rPr>
        <w:t xml:space="preserve"> 파라미터 명시)하는 것을 원칙으로 합니다.</w:t>
      </w:r>
    </w:p>
    <w:p>
      <w:pPr>
        <w:spacing w:before="160" w:after="80"/>
      </w:pPr>
      <w:r>
        <w:rPr>
          <w:b/>
          <w:color w:val="2E5496"/>
          <w:sz w:val="26"/>
        </w:rPr>
        <w:t>2.3. 표준 메타데이터 매트릭스 (Metadata 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속성명</w:t>
            </w:r>
          </w:p>
        </w:tc>
        <w:tc>
          <w:tcPr>
            <w:tcW w:type="dxa" w:w="1134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134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5386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701"/>
            <w:shd w:val="clear" w:color="auto" w:fill="EEF2FA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doc_id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필수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원본 문서 고유 ID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tenant_id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필수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테넌트 식별자 (Strict Filter)</w:t>
            </w:r>
          </w:p>
        </w:tc>
      </w:tr>
      <w:tr>
        <w:tc>
          <w:tcPr>
            <w:tcW w:type="dxa" w:w="1701"/>
            <w:shd w:val="clear" w:color="auto" w:fill="EEF2FA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org_id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선택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조직 코드 (예: 0102). NULL 시 전사 공유 문서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dept_code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조건부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org_id 앞 2자리 파생값. 부서 단위 필터링용</w:t>
            </w:r>
          </w:p>
        </w:tc>
      </w:tr>
      <w:tr>
        <w:tc>
          <w:tcPr>
            <w:tcW w:type="dxa" w:w="1701"/>
            <w:shd w:val="clear" w:color="auto" w:fill="EEF2FA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vector_db_id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필수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물리적 저장소 식별자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page_no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필수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실제 PDF/문서의 페이지 번호</w:t>
            </w:r>
          </w:p>
        </w:tc>
      </w:tr>
      <w:tr>
        <w:tc>
          <w:tcPr>
            <w:tcW w:type="dxa" w:w="1701"/>
            <w:shd w:val="clear" w:color="auto" w:fill="EEF2FA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created_at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1134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필수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ISO 8601 형식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before="80" w:after="80"/>
              <w:ind w:left="170"/>
            </w:pPr>
            <w:r/>
            <w:r>
              <w:rPr>
                <w:sz w:val="20"/>
              </w:rPr>
            </w:r>
            <w:r>
              <w:rPr>
                <w:b/>
                <w:sz w:val="20"/>
              </w:rPr>
              <w:t>Note on Tags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sz w:val="18"/>
              </w:rPr>
              <w:t>tags</w:t>
            </w:r>
            <w:r>
              <w:rPr>
                <w:sz w:val="20"/>
              </w:rPr>
              <w:t xml:space="preserve">는 RDBMS/JSON 스토리지에는 배열로 저장할 수 있으나, Vector DB 메타데이터에는 필터 성능과 엔진 호환성을 위해 </w:t>
            </w:r>
            <w:r>
              <w:rPr>
                <w:b/>
                <w:sz w:val="20"/>
              </w:rPr>
              <w:t>콤마 분리 문자열(Scalar)</w:t>
            </w:r>
            <w:r>
              <w:rPr>
                <w:sz w:val="20"/>
              </w:rPr>
              <w:t xml:space="preserve"> 형태로 변환하여 저장하거나 필터링에서 제외할 것을 권장합니다.</w:t>
            </w:r>
          </w:p>
        </w:tc>
      </w:tr>
    </w:tbl>
    <w:p/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3564"/>
          <w:sz w:val="32"/>
        </w:rPr>
        <w:t>3. 멀티테넌트 및 계층 검색 정책</w:t>
      </w:r>
    </w:p>
    <w:p>
      <w:pPr>
        <w:spacing w:before="160" w:after="80"/>
      </w:pPr>
      <w:r>
        <w:rPr>
          <w:b/>
          <w:color w:val="2E5496"/>
          <w:sz w:val="26"/>
        </w:rPr>
        <w:t>3.1. 헤더 표준 및 검증</w:t>
      </w:r>
    </w:p>
    <w:p>
      <w:pPr>
        <w:pStyle w:val="ListBullet"/>
        <w:spacing w:after="40"/>
      </w:pPr>
      <w:r>
        <w:rPr>
          <w:rFonts w:ascii="Courier New" w:hAnsi="Courier New"/>
          <w:b w:val="0"/>
          <w:sz w:val="20"/>
        </w:rPr>
        <w:t>X-Tenant-ID</w:t>
      </w:r>
      <w:r>
        <w:rPr>
          <w:b w:val="0"/>
          <w:sz w:val="20"/>
        </w:rPr>
        <w:t>: 필수. 누락 시 에러 처리.</w:t>
      </w:r>
    </w:p>
    <w:p>
      <w:pPr>
        <w:pStyle w:val="ListBullet"/>
        <w:spacing w:after="40"/>
      </w:pPr>
      <w:r>
        <w:rPr>
          <w:rFonts w:ascii="Courier New" w:hAnsi="Courier New"/>
          <w:b w:val="0"/>
          <w:sz w:val="20"/>
        </w:rPr>
        <w:t>X-Org-ID</w:t>
      </w:r>
      <w:r>
        <w:rPr>
          <w:b w:val="0"/>
          <w:sz w:val="20"/>
        </w:rPr>
        <w:t>: 선택. 누락 시 전사 범위로 간주(관리자/시스템용).</w:t>
      </w:r>
    </w:p>
    <w:p>
      <w:pPr>
        <w:spacing w:before="160" w:after="80"/>
      </w:pPr>
      <w:r>
        <w:rPr>
          <w:b/>
          <w:color w:val="2E5496"/>
          <w:sz w:val="26"/>
        </w:rPr>
        <w:t>3.2. 계층별 검색 필터 로직 (OR 정책)</w:t>
      </w:r>
    </w:p>
    <w:p>
      <w:pPr>
        <w:spacing w:after="120"/>
      </w:pPr>
      <w:r>
        <w:rPr>
          <w:sz w:val="20"/>
        </w:rPr>
        <w:t>사용자가 특정 조직(</w:t>
      </w:r>
      <w:r>
        <w:rPr>
          <w:rFonts w:ascii="Courier New" w:hAnsi="Courier New"/>
          <w:sz w:val="18"/>
        </w:rPr>
        <w:t>org_id</w:t>
      </w:r>
      <w:r>
        <w:rPr>
          <w:sz w:val="20"/>
        </w:rPr>
        <w:t>)에 소속되어 검색할 때, 해당 조직 문서와 전사 공유 문서를 동시에 조회하는 정책을 따릅니다.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검색 수준</w:t>
            </w:r>
          </w:p>
        </w:tc>
        <w:tc>
          <w:tcPr>
            <w:tcW w:type="dxa" w:w="5102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필터 조건 (Filter Logic)</w:t>
            </w:r>
          </w:p>
        </w:tc>
        <w:tc>
          <w:tcPr>
            <w:tcW w:type="dxa" w:w="2551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검색 범위</w:t>
            </w:r>
          </w:p>
        </w:tc>
      </w:tr>
      <w:tr>
        <w:tc>
          <w:tcPr>
            <w:tcW w:type="dxa" w:w="1701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팀 검색 (0102)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tenant_id == "A" AND (org_id == "0102" OR org_id IS NULL)</w:t>
            </w:r>
          </w:p>
        </w:tc>
        <w:tc>
          <w:tcPr>
            <w:tcW w:type="dxa" w:w="2551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02팀 문서 + 전사 공유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부서 검색 (0100)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tenant_id == "A" AND (dept_code == "01" OR org_id IS NULL)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01부서 전체 + 전사 공유</w:t>
            </w:r>
          </w:p>
        </w:tc>
      </w:tr>
      <w:tr>
        <w:tc>
          <w:tcPr>
            <w:tcW w:type="dxa" w:w="1701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전사 검색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tenant_id == "A"</w:t>
            </w:r>
          </w:p>
        </w:tc>
        <w:tc>
          <w:tcPr>
            <w:tcW w:type="dxa" w:w="2551"/>
            <w:shd w:val="clear" w:color="auto" w:fill="EEF2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회사 전체 문서</w:t>
            </w:r>
          </w:p>
        </w:tc>
      </w:tr>
    </w:tbl>
    <w:p/>
    <w:p>
      <w:pPr>
        <w:spacing w:before="160" w:after="80"/>
      </w:pPr>
      <w:r>
        <w:rPr>
          <w:b/>
          <w:color w:val="2E5496"/>
          <w:sz w:val="26"/>
        </w:rPr>
        <w:t>3.3. 조직 코드(org_id) 체계</w:t>
      </w:r>
    </w:p>
    <w:p>
      <w:pPr>
        <w:pStyle w:val="ListBullet"/>
        <w:spacing w:after="40"/>
      </w:pPr>
      <w:r>
        <w:rPr>
          <w:b/>
          <w:sz w:val="20"/>
        </w:rPr>
        <w:t xml:space="preserve">형식: </w:t>
      </w:r>
      <w:r>
        <w:rPr>
          <w:rFonts w:ascii="Courier New" w:hAnsi="Courier New"/>
          <w:b w:val="0"/>
          <w:sz w:val="20"/>
        </w:rPr>
        <w:t>{DD}{TT}</w:t>
      </w:r>
      <w:r>
        <w:rPr>
          <w:b w:val="0"/>
          <w:sz w:val="20"/>
        </w:rPr>
        <w:t xml:space="preserve"> (DD: 부서 2자리, TT: 팀 2자리)</w:t>
      </w:r>
    </w:p>
    <w:p>
      <w:pPr>
        <w:pStyle w:val="ListBullet"/>
        <w:spacing w:after="40"/>
      </w:pPr>
      <w:r>
        <w:rPr>
          <w:b/>
          <w:sz w:val="20"/>
        </w:rPr>
        <w:t xml:space="preserve">0100의 의미: </w:t>
      </w:r>
      <w:r>
        <w:rPr>
          <w:b w:val="0"/>
          <w:sz w:val="20"/>
        </w:rPr>
        <w:t xml:space="preserve">01부서 공통 소유 문서. (부서 전체 검색은 </w:t>
      </w:r>
      <w:r>
        <w:rPr>
          <w:rFonts w:ascii="Courier New" w:hAnsi="Courier New"/>
          <w:b w:val="0"/>
          <w:sz w:val="20"/>
        </w:rPr>
        <w:t>dept_code == "01"</w:t>
      </w:r>
      <w:r>
        <w:rPr>
          <w:b w:val="0"/>
          <w:sz w:val="20"/>
        </w:rPr>
        <w:t>로 수행)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3564"/>
          <w:sz w:val="32"/>
        </w:rPr>
        <w:t>4. RDBMS 상세 설계 지침 (Composite Key)</w:t>
      </w:r>
    </w:p>
    <w:p>
      <w:pPr>
        <w:spacing w:after="120"/>
      </w:pPr>
      <w:r>
        <w:rPr>
          <w:sz w:val="20"/>
        </w:rPr>
        <w:t>데이터 정합성과 멀티테넌트 충돌 방지를 위해 주요 테이블은 복합키를 사용합니다.</w:t>
      </w:r>
    </w:p>
    <w:p>
      <w:pPr>
        <w:pStyle w:val="ListBullet"/>
        <w:spacing w:after="40"/>
      </w:pPr>
      <w:r>
        <w:rPr>
          <w:rFonts w:ascii="Courier New" w:hAnsi="Courier New"/>
          <w:b/>
          <w:sz w:val="20"/>
        </w:rPr>
        <w:t>ca_org_mgnt</w:t>
      </w:r>
      <w:r>
        <w:rPr>
          <w:b w:val="0"/>
          <w:sz w:val="20"/>
        </w:rPr>
        <w:t>:</w:t>
      </w:r>
    </w:p>
    <w:p>
      <w:pPr>
        <w:pStyle w:val="ListBullet2"/>
        <w:spacing w:after="40"/>
      </w:pPr>
      <w:r>
        <w:rPr>
          <w:b w:val="0"/>
          <w:sz w:val="20"/>
        </w:rPr>
        <w:t xml:space="preserve">PK: </w:t>
      </w:r>
      <w:r>
        <w:rPr>
          <w:rFonts w:ascii="Courier New" w:hAnsi="Courier New"/>
          <w:b w:val="0"/>
          <w:sz w:val="20"/>
        </w:rPr>
        <w:t>(tenant_id, org_id)</w:t>
      </w:r>
    </w:p>
    <w:p>
      <w:pPr>
        <w:pStyle w:val="ListBullet"/>
        <w:spacing w:after="40"/>
      </w:pPr>
      <w:r>
        <w:rPr>
          <w:rFonts w:ascii="Courier New" w:hAnsi="Courier New"/>
          <w:b/>
          <w:sz w:val="20"/>
        </w:rPr>
        <w:t>wc_project</w:t>
      </w:r>
      <w:r>
        <w:rPr>
          <w:b w:val="0"/>
          <w:sz w:val="20"/>
        </w:rPr>
        <w:t>:</w:t>
      </w:r>
    </w:p>
    <w:p>
      <w:pPr>
        <w:pStyle w:val="ListBullet2"/>
        <w:spacing w:after="40"/>
      </w:pPr>
      <w:r>
        <w:rPr>
          <w:b w:val="0"/>
          <w:sz w:val="20"/>
        </w:rPr>
        <w:t xml:space="preserve">PK: </w:t>
      </w:r>
      <w:r>
        <w:rPr>
          <w:rFonts w:ascii="Courier New" w:hAnsi="Courier New"/>
          <w:b w:val="0"/>
          <w:sz w:val="20"/>
        </w:rPr>
        <w:t>(tenant_id, project_code)</w:t>
      </w:r>
    </w:p>
    <w:p>
      <w:pPr>
        <w:pStyle w:val="ListBullet"/>
        <w:spacing w:after="40"/>
      </w:pPr>
      <w:r>
        <w:rPr>
          <w:rFonts w:ascii="Courier New" w:hAnsi="Courier New"/>
          <w:b/>
          <w:sz w:val="20"/>
        </w:rPr>
        <w:t>wc_project_rag_doc</w:t>
      </w:r>
      <w:r>
        <w:rPr>
          <w:b w:val="0"/>
          <w:sz w:val="20"/>
        </w:rPr>
        <w:t>:</w:t>
      </w:r>
    </w:p>
    <w:p>
      <w:pPr>
        <w:pStyle w:val="ListBullet2"/>
        <w:spacing w:after="40"/>
      </w:pPr>
      <w:r>
        <w:rPr>
          <w:b w:val="0"/>
          <w:sz w:val="20"/>
        </w:rPr>
        <w:t xml:space="preserve">PK: </w:t>
      </w:r>
      <w:r>
        <w:rPr>
          <w:rFonts w:ascii="Courier New" w:hAnsi="Courier New"/>
          <w:b w:val="0"/>
          <w:sz w:val="20"/>
        </w:rPr>
        <w:t>doc_id</w:t>
      </w:r>
      <w:r>
        <w:rPr>
          <w:b w:val="0"/>
          <w:sz w:val="20"/>
        </w:rPr>
        <w:t xml:space="preserve"> (UUID)</w:t>
      </w:r>
    </w:p>
    <w:p>
      <w:pPr>
        <w:pStyle w:val="ListBullet2"/>
        <w:spacing w:after="40"/>
      </w:pPr>
      <w:r>
        <w:rPr>
          <w:b w:val="0"/>
          <w:sz w:val="20"/>
        </w:rPr>
        <w:t xml:space="preserve">FK: </w:t>
      </w:r>
      <w:r>
        <w:rPr>
          <w:rFonts w:ascii="Courier New" w:hAnsi="Courier New"/>
          <w:b w:val="0"/>
          <w:sz w:val="20"/>
        </w:rPr>
        <w:t>(tenant_id, project_code)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3564"/>
          <w:sz w:val="32"/>
        </w:rPr>
        <w:t>5. 오류 및 예외 표준</w:t>
      </w:r>
    </w:p>
    <w:p>
      <w:pPr>
        <w:pStyle w:val="ListBullet"/>
        <w:spacing w:after="40"/>
      </w:pPr>
      <w:r>
        <w:rPr>
          <w:b/>
          <w:sz w:val="20"/>
        </w:rPr>
        <w:t xml:space="preserve">임베딩 Fallback 금지: </w:t>
      </w:r>
      <w:r>
        <w:rPr>
          <w:b w:val="0"/>
          <w:sz w:val="20"/>
        </w:rPr>
        <w:t xml:space="preserve">Gateway 호출 실패 시 더미 벡터 반환을 금지하며, 반드시 </w:t>
      </w:r>
      <w:r>
        <w:rPr>
          <w:rFonts w:ascii="Courier New" w:hAnsi="Courier New"/>
          <w:b w:val="0"/>
          <w:sz w:val="20"/>
        </w:rPr>
        <w:t>embedding_api_timeout</w:t>
      </w:r>
      <w:r>
        <w:rPr>
          <w:b w:val="0"/>
          <w:sz w:val="20"/>
        </w:rPr>
        <w:t xml:space="preserve"> 예외를 발생시켜 문서 상태를 </w:t>
      </w:r>
      <w:r>
        <w:rPr>
          <w:rFonts w:ascii="Courier New" w:hAnsi="Courier New"/>
          <w:b w:val="0"/>
          <w:sz w:val="20"/>
        </w:rPr>
        <w:t>error</w:t>
      </w:r>
      <w:r>
        <w:rPr>
          <w:b w:val="0"/>
          <w:sz w:val="20"/>
        </w:rPr>
        <w:t>로 기록해야 합니다.</w:t>
      </w:r>
    </w:p>
    <w:p>
      <w:pPr>
        <w:pStyle w:val="ListBullet"/>
        <w:spacing w:after="40"/>
      </w:pPr>
      <w:r>
        <w:rPr>
          <w:b/>
          <w:sz w:val="20"/>
        </w:rPr>
        <w:t xml:space="preserve">Index Swap 패턴: </w:t>
      </w:r>
      <w:r>
        <w:rPr>
          <w:b w:val="0"/>
          <w:sz w:val="20"/>
        </w:rPr>
        <w:t>조직 개편이나 대규모 데이터 갱신 시 신규 컬렉션 생성 후 라우팅 정보(Alias)를 교체하는 방식을 채택하여 서비스 중단과 데이터 불일치를 방지합니다.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