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C/D交付验收与下一步</w:t>
      </w:r>
    </w:p>
    <w:p>
      <w:r>
        <w:t>2026年10月24日｜v0.10｜两题接口测试已完成，进入人工试评分与规则校准。</w:t>
      </w:r>
    </w:p>
    <w:p>
      <w:pPr>
        <w:pStyle w:val="Heading1"/>
      </w:pPr>
      <w:r>
        <w:t>本次收件结论</w:t>
      </w:r>
    </w:p>
    <w:p>
      <w:r>
        <w:t>C包有8次实际请求记录，覆盖两题、两模型、两流程；8份HTTP成功响应与JSON解析相互对应，无已回传失败、重试或截断。问题、证据、提示词与v0.8一致；原始响应、usage及匿名最终回复已逐项核验。这个结论是对已交日志的一致性检查，账户扣费仍需账单。</w:t>
      </w:r>
    </w:p>
    <w:p>
      <w:r>
        <w:t>D交回7题独立事实提取及规则意见，并自述此前未看过A答案或事后回复；这属于D的暴露声明。8条输出评分和分歧表仍空，不能写成已完成双人盲评。D原Excel和C原ZIP按原字节归档，未被修订版覆盖。</w:t>
      </w:r>
    </w:p>
    <w:p>
      <w:pPr>
        <w:pStyle w:val="Heading1"/>
      </w:pPr>
      <w:r>
        <w:t>可以报告的实测值</w:t>
      </w:r>
    </w:p>
    <w:p>
      <w:r>
        <w:t>输入合计21420 Token，输出1618 Token。DeepSeek直接两次0.005885元、边界两次0.006633元；千问直接两次0.001434元、边界两次0.0016408元。合计参考费用0.0155928元，约1.56分人民币。</w:t>
      </w:r>
    </w:p>
    <w:p>
      <w:r>
        <w:t>这些金额按真实usage与当日官方人民币价复算，尚不是账户实付。周六DeepSeek空闲时段价格和千问北京短输入档已另行核对。质量评分尚缺，不能计算合格回复成本，也不能用2题作模型质量排名或正式显著性检验。</w:t>
      </w:r>
    </w:p>
    <w:p>
      <w:r>
        <w:t>价格来源：https://api-docs.deepseek.com/zh-cn/quick_start/pricing/ ；https://help.aliyun.com/zh/model-studio/qwen3-7-flash ，核对日期2026-10-24。费用和价格字段在02/03/04号文件，原始回传哈希亦已留存。</w:t>
      </w:r>
    </w:p>
    <w:p>
      <w:pPr>
        <w:pStyle w:val="Heading1"/>
      </w:pPr>
      <w:r>
        <w:t>已完成的下一步准备</w:t>
      </w:r>
    </w:p>
    <w:p>
      <w:r>
        <w:t>为D装入8条真实匿名回复和原页，保留其原核对，新增事实修订答复和规则确认表；所有输出分数仍空白。为A另备8条独立评分包，便于两人先各自评分再讨论。</w:t>
      </w:r>
    </w:p>
    <w:p>
      <w:r>
        <w:t>为C提供账单/地域补件表、四维评分离线分析程序及网络结果不明不自动重试的补丁。已验证缺评分不计0、零合格成本未定义、U保留全部分母和费用、NA不能掩盖事实断言等边界。没有新增API调用。</w:t>
      </w:r>
    </w:p>
    <w:p>
      <w:pPr>
        <w:pStyle w:val="Heading1"/>
      </w:pPr>
      <w:r>
        <w:t>必须先协调的口径</w:t>
      </w:r>
    </w:p>
    <w:p>
      <w:r>
        <w:t>不只报告删去U后的合格率，须同时保留全槽位上下界；不把舍入容差统一放宽到±1个原表显示单位；全不可答题不自动免于事实/引用检查。C五项二元标准与D四维标准已提供统一接口，但正式规则尚未获A/D共同确认。</w:t>
      </w:r>
    </w:p>
    <w:p>
      <w:r>
        <w:t>七题复核差异已逐项列出：P-A08不在看过输出后新增必答原因；越南子公司亏损不能推出全部海外业务亏损；原页中的智圣固能/智圣能源不能擅自按OCR统一；年度研发项目不解释季度增量分配；含息补流与表内金额各附口径即可，不要求每条回答同时列两数；扣非变化不等于完整经营因果识别。</w:t>
      </w:r>
    </w:p>
    <w:p>
      <w:r>
        <w:t>这些是校准阶段的复核建议，不是篡改D原表或代替人工评分。正式实验必须在规则、题目、证据和配置确认后才运行。</w:t>
      </w:r>
    </w:p>
    <w:p>
      <w:pPr>
        <w:pStyle w:val="Heading1"/>
      </w:pPr>
      <w:r>
        <w:t>接下来各自交什么</w:t>
      </w:r>
    </w:p>
    <w:p>
      <w:r>
        <w:t>D：收到新包后按此前承诺24小时内，先回复规则/事实修订，再交8条第一版评分；不同意建议可以留理由。A：独立评同8条，先保存再看D评分，记录是否已看过模型映射；另有智动力5题参考答案复核待回收。</w:t>
      </w:r>
    </w:p>
    <w:p>
      <w:r>
        <w:t>C：补本轮账单/免费额度/账期、DeepSeek地域或无法确认的说明，核对补丁与四维接口；当前8次不重跑。队长：把D/C新包分别转发，提供比赛原始通知或官方链接与提交模板。</w:t>
      </w:r>
    </w:p>
    <w:p>
      <w:r>
        <w:t>助手：继续维护文献、证据和主稿，处理11题时点补证及P-A06标准U，收到A/D分数后汇总分歧和裁定，不把自己的判断登记成人类独立评分。</w:t>
      </w:r>
    </w:p>
    <w:p>
      <w:r>
        <w:t>当前20题仍为候选，正式80题与24题人工子样本未冻结，正式人工任务完成0次。若比赛截止仍为10月29日，剩余时间已紧，应按实际材料尽快冻结可执行规模并事前留痕；不能到最后用模拟数据补齐计划。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v0.10｜2026-10-24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