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AB补证与开跑交接说明</w:t>
      </w:r>
    </w:p>
    <w:p>
      <w:r>
        <w:t>版本v0.7｜北京时间2026年10月23日｜研究准备，无实测结果。</w:t>
      </w:r>
    </w:p>
    <w:p>
      <w:r>
        <w:t>本轮补充在v0.6基础上使用。已收到的7份PDF全部可读并已归档；20题候选、21张证据事实卡、文献矩阵及主稿继续使用v0.6。当前正式冻结题数、已回收API调用数、人工任务完成数均为0。没有把计划调用登记成已执行。</w:t>
      </w:r>
    </w:p>
    <w:p>
      <w:pPr>
        <w:pStyle w:val="Heading1"/>
      </w:pPr>
      <w:r>
        <w:t>现在可以并行推进的工作</w:t>
      </w:r>
    </w:p>
    <w:p>
      <w:r>
        <w:t>A兼B继续处理原题、提问前证据和参考答案；C先用苏泊尔P-A07/P-A08完成两题×两模型×两流程的8次测试，检验接口、费用记录和解析；D先校准两题评分规则。无需等待所有候选题凑齐才开始接口调试。参考答案仍由A保管，不放进C的模型输入。</w:t>
      </w:r>
    </w:p>
    <w:p>
      <w:r>
        <w:t>C/D各24次正式人工任务的既定安排不变：各12次纯人工、12次AI辅助，同一人不重复同题。正式24题及参考答案尚未分发；D须完成正式人工任务后再接触这24题的评分答案。当前两题只属预实验，不进入正式80题或人工24题。</w:t>
      </w:r>
    </w:p>
    <w:p>
      <w:pPr>
        <w:pStyle w:val="Heading1"/>
      </w:pPr>
      <w:r>
        <w:t>B部分新核查结果</w:t>
      </w:r>
    </w:p>
    <w:p>
      <w:r>
        <w:t>老板电器与立讯精密活动记录已补到巨潮公开链接，见来源S01/S03。7份用户原件保持原哈希，未宣称新找到的公开链接与上传件逐字节相同。</w:t>
      </w:r>
    </w:p>
    <w:p>
      <w:r>
        <w:t>两家公司均允许在说明会前提交问题，见S02/S04。说明会日期不能作为逐题提问日期。11题仍保留时间缺口；不把媒体报道时间、回复时间或问题征集公告日期写入question_time。没有可靠原问记录时按事前规则换题，不为凑满20题放松标准。</w:t>
      </w:r>
    </w:p>
    <w:p>
      <w:r>
        <w:t>智动力2025年报1225251420.PDF（205页）仍缺完整原件。网页可以在线核读，但不等于已下载归档；已收到的1225251431.pdf是2026年一季报，不能替代。苏泊尔P-A06两表差异继续保留U，不用于模型优劣评分。其余题仍需独立核对，完整原件到齐也不自动等于可以冻结。</w:t>
      </w:r>
    </w:p>
    <w:p>
      <w:pPr>
        <w:pStyle w:val="Heading1"/>
      </w:pPr>
      <w:r>
        <w:t>给C的模型与费用建议</w:t>
      </w:r>
    </w:p>
    <w:p>
      <w:r>
        <w:t>队长已同意按以下组合准备接口测试，仍待C验证账户可用性：DeepSeek官方deepseek-flash；千问采用百炼北京地域qwen3.7-flash-2026-07-15快照。选择依据是账户可测试、可控制思考模式、可记录单价；不预设谁质量更好。如果C已确定其他版本，先回传版本核对，不覆盖旧结果。</w:t>
      </w:r>
    </w:p>
    <w:p>
      <w:r>
        <w:t>共同申请temperature=0、max_tokens=2048、非流式；两模型均显式关闭内置思考并禁用联网/工具。直接生成和边界判断流程的差异只来自已固定的提示词。参数实际支持情况以测试响应为准；温度为0也不能保证完全可重复。DeepSeek的请求名是服务别名，需另存调用时文档版本与响应model；不能声称永久锁定权重。</w:t>
      </w:r>
    </w:p>
    <w:p>
      <w:r>
        <w:t>按10月23日公开人民币价，DeepSeek Flash缓存未命中输入/输出：高峰每百万Token为2/8元，空闲为1/4元。千问该快照在北京、单次输入不超过32,000 Token时为0.2/0.8元；更长输入按另两档计价。来源S06/S07，运行前须复核账户、地域和最新价格。</w:t>
      </w:r>
    </w:p>
    <w:p>
      <w:r>
        <w:t>预算表按8次调试＋80次预实验＋320次正式生成＝408次计划请求做情景测算，每模型204次。每次假设6,000输入和800输出Token，采用DeepSeek高峰未命中价与千问北京首档价，基础生成约4.13元，加30%预算预留约5.37元。输入30,000、输出2,048的压力情景加30%预留约22.28元。这些是条件估算，不是实测Token或费用，不包含人工、部署和资料准备。100元是API预算上限，不表示必须充值或花完；先以8次实际用量更新预测。</w:t>
      </w:r>
    </w:p>
    <w:p>
      <w:pPr>
        <w:pStyle w:val="Heading1"/>
      </w:pPr>
      <w:r>
        <w:t>成本口径补充：避免时段与缓存造成误判</w:t>
      </w:r>
    </w:p>
    <w:p>
      <w:r>
        <w:t>每次保留原始usage、输入/输出、缓存命中、请求与响应model、时间、地域、单价版本、失败和重试。没有usage时留缺失，不填0；重试追加行，不覆盖第一次调用。免费额度抵扣、账面消费和现金扣费分别记录。</w:t>
      </w:r>
    </w:p>
    <w:p>
      <w:r>
        <w:t>报告并列两套API账：一套按调用时实际计价与账单对账；另一套以冻结参考价格重算，DeepSeek采用高峰未命中输入价、千问按实际输入长度档位，不计免费额及缓存折扣。后一套不是实付金额，只用于控制调度时段、缓存与赠额差异。主比较方法须在正式输出产生前固定，不能看到排名后换口径。</w:t>
      </w:r>
    </w:p>
    <w:p>
      <w:r>
        <w:t>输入阶梯由每次完整请求的实际输入Token决定，包含系统提示、问题和证据，不按汉字估算。输出按服务商实际计费字段计算；如出现额外推理用量须核对计费定义，不能与已包含它的completion_tokens重复相加。</w:t>
      </w:r>
    </w:p>
    <w:p>
      <w:r>
        <w:t>每条合格草稿成本的分子含按预定规则发生的失败和重试费用，分母只数有效主输出中的合格份数。合格数为0则单位成本未定义。人工交付成本另加阅读、核验、修改和合理分摊；研究评分时间单列。50%降价分析固定质量、Token、人工时间及其他投入，只对API价格项打折。两套账均保留，给出假设而不是企业实测成本。</w:t>
      </w:r>
    </w:p>
    <w:p>
      <w:pPr>
        <w:pStyle w:val="Heading1"/>
      </w:pPr>
      <w:r>
        <w:t>下一步收件与日期</w:t>
      </w:r>
    </w:p>
    <w:p>
      <w:r>
        <w:t>10月23日优先回收：智动力年报原件；C的精确模型配置与8次原始输出、usage、错误/重试和账单依据；D的两题独立试评分及分歧说明。若未完成，按实际状态顺延，不回填完成日期。</w:t>
      </w:r>
    </w:p>
    <w:p>
      <w:r>
        <w:t>10月24日以已有可核验材料完成20题预实验筛选、替换时间不明题并校准规则。正式80题、两行业8家公司及24题人工子样本仍是目标，必须在正式输出产生前冻结。若届时样本或人员时间不足，先记录缩减理由和新规模，再运行；不能事后删题或把20题说成80题。</w:t>
      </w:r>
    </w:p>
    <w:p>
      <w:r>
        <w:t>10月25—26日拟安排正式调用、人工任务和盲评；10月27日拟分析并形成完整结果稿；10月28日交叉核对和Word/PDF导出；10月29日18:00为内部提交目标。比赛原定22:00截止及邮箱沿用已有方案，仍应以正式比赛通知复核。此安排是压缩计划，不是已完成记录。</w:t>
      </w:r>
    </w:p>
    <w:p>
      <w:pPr>
        <w:pStyle w:val="Heading1"/>
      </w:pPr>
      <w:r>
        <w:t>来源索引</w:t>
      </w:r>
    </w:p>
    <w:p>
      <w:r>
        <w:t>[S01] 老板电器2026-001活动记录（巨潮公开链接）；PDF第1–4页。https://static.cninfo.com.cn/finalpage/2026-05-13/1225304104.PDF</w:t>
      </w:r>
    </w:p>
    <w:p>
      <w:r>
        <w:t>[S02] 老板电器2025年度网上说明会公告；PDF第1页。https://static.cninfo.com.cn/finalpage/2026-04-29/1225237778.PDF</w:t>
      </w:r>
    </w:p>
    <w:p>
      <w:r>
        <w:t>[S03] 立讯精密2026-002活动记录（巨潮公开链接）；14页；第1页活动信息；第14页第85问。https://static.cninfo.com.cn/finalpage/2026-05-07/1225280960.PDF</w:t>
      </w:r>
    </w:p>
    <w:p>
      <w:r>
        <w:t>[S04] 立讯精密网上说明会通知（新浪公告转载）；公告日期2026-04-22；公告正文。https://money.finance.sina.com.cn/corp/view/vCB_AllBulletinDetail.php?id=12129431&amp;stockid=002475</w:t>
      </w:r>
    </w:p>
    <w:p>
      <w:r>
        <w:t>[S05] 智动力2025年年度报告全文；205页；网页解析可读。https://static.cninfo.com.cn/finalpage/2026-04-29/1225251420.PDF</w:t>
      </w:r>
    </w:p>
    <w:p>
      <w:r>
        <w:t>[S06] DeepSeek人民币模型价格；模型细节表及脚注1、2。https://api-docs.deepseek.com/zh-cn/quick_start/pricing/</w:t>
      </w:r>
    </w:p>
    <w:p>
      <w:r>
        <w:t>[S07] 百炼模型调用价格；文本生成—千问Flash—华北2（北京）。https://help.aliyun.com/zh/model-studio/model-pricing</w:t>
      </w:r>
    </w:p>
    <w:p>
      <w:r>
        <w:t>[S08] DeepSeek Chat Completions API；thinking、temperature、max_tokens。https://api-docs.deepseek.com/api/create-chat-completion/</w:t>
      </w:r>
    </w:p>
    <w:p>
      <w:r>
        <w:t>[S09] 百炼深度思考说明；使用方式及Qwen3.7支持列表。https://help.aliyun.com/zh/model-studio/deep-thinking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无实测结果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A＋B研究准备｜v0.7补充｜2026-10-23（北京时间）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AB补证与开跑交接说明</dc:title>
  <dc:subject/>
  <dc:creator>研究团队（AI辅助整理，待人工复核）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