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A不用等待：今天的工作与交接</w:t>
      </w:r>
    </w:p>
    <w:p>
      <w:r>
        <w:rPr>
          <w:b/>
        </w:rPr>
        <w:t>状态：</w:t>
      </w:r>
      <w:r>
        <w:t>2026-10-20｜v0.4。团队已决定DeepSeek＋千问；具体服务、版本、参数待C连通测试和预实验后冻结。本文是A的写作与协调底稿，没有正式实验结果。</w:t>
      </w:r>
    </w:p>
    <w:p>
      <w:r>
        <w:rPr>
          <w:b/>
        </w:rPr>
        <w:t>今天先做三件事：</w:t>
      </w:r>
      <w:r>
        <w:t>先用第2页统一引言和三项研究问题，再用第3页和D/C核定评价、成本与统计口径，最后按第4页搭好主稿并标记数据接口。已有三篇文献的样本、指标和页码可直接接入，不必等待无法取得的论文。</w:t>
      </w:r>
    </w:p>
    <w:p>
      <w:r>
        <w:rPr>
          <w:b/>
        </w:rPr>
        <w:t>建议的90分钟工作块：</w:t>
      </w:r>
      <w:r>
        <w:t>前30分钟：A审阅题目、引言、研究贡献；中间30分钟：核对方法中哪些已确定、哪些需pilot后冻结；最后30分钟：将报告骨架粘入主稿，给B/C/D发送06通知并收一版进度表。此为安排建议，不是已完成工时。</w:t>
      </w:r>
    </w:p>
    <w:p>
      <w:r>
        <w:rPr>
          <w:b/>
        </w:rPr>
        <w:t>现在向谁要什么：</w:t>
      </w:r>
      <w:r>
        <w:t>向B要候选公司、题目元数据、提问前证据完整性和排除原因摘要；向C要精确模型ID、地域、思考开关、价格依据及1题四条件连通记录；向D要评分手册、pilot双人独立评分与分歧、人工计时模板。收到一个模块就推进一个模块，无须一次等齐。</w:t>
      </w:r>
    </w:p>
    <w:p>
      <w:r>
        <w:rPr>
          <w:b/>
        </w:rPr>
        <w:t>正式实验的隔离：</w:t>
      </w:r>
      <w:r>
        <w:t>A与C仍将参加人工对照，不得提前阅读正式人工24题的参考答案或未分配草稿。A现阶段审阅采样规则、数量、缺失项和评分原则即可；完整答案由B/D管理。已经读过的5道pilot不能进入正式人工任务。</w:t>
      </w:r>
    </w:p>
    <w:p>
      <w:r>
        <w:rPr>
          <w:b/>
        </w:rPr>
        <w:t>千问的落实方式：</w:t>
      </w:r>
      <w:r>
        <w:t>建议使用日期快照qwen3.7-plus-2026-05-26，避免仅写“千问”。C在百炼北京地域确认可用性，并关闭内置思考；DeepSeek同样关闭。若已有可用的其他千问版本，正式运行前登记更改并重算费用，不要混合版本后仍当同一模型。</w:t>
      </w:r>
    </w:p>
    <w:p>
      <w:r>
        <w:rPr>
          <w:b/>
        </w:rPr>
        <w:t>当前预算判断：</w:t>
      </w:r>
      <w:r>
        <w:t>按两模型各200次、每次6000输入/1000输出Token测算，普通在线无缓存基准共8.00元；长输入输出情景14.40元，加30%冗余18.72元。100元继续作为上限，费用以实际用量及账单为准。这不是人工交付总成本。</w:t>
      </w:r>
    </w:p>
    <w:p>
      <w:r>
        <w:br w:type="page"/>
      </w:r>
    </w:p>
    <w:p>
      <w:pPr>
        <w:pStyle w:val="Heading1"/>
      </w:pPr>
      <w:r>
        <w:t>可放入主稿的引言与问题说明</w:t>
      </w:r>
    </w:p>
    <w:p>
      <w:r>
        <w:rPr>
          <w:b/>
        </w:rPr>
        <w:t>暂定题目：</w:t>
      </w:r>
      <w:r>
        <w:t>一条合格回复值多少Token？——生成式AI辅助上市公司投资者问答的成本、质量与边界</w:t>
      </w:r>
    </w:p>
    <w:p>
      <w:r>
        <w:rPr>
          <w:b/>
        </w:rPr>
        <w:t>引言初稿：</w:t>
      </w:r>
      <w:r>
        <w:t>投资者互动平台上的一条短回复，可能改变公众对上市公司业务范围的理解。浙江证监局2024年1月18日的处罚决定认定，思美传媒在2023年11月27日互动易答复中，对抖音超市代运营业务作出与实际情况不符的表述，构成误导性陈述；公司及相关负责人分别被罚150万元和100万元。[1] 该决定没有认定这是AI事故。本文以此说明回复的事实边界与责任后果，而不据此推算AI的错误概率或预期罚款。</w:t>
      </w:r>
    </w:p>
    <w:p>
      <w:r>
        <w:rPr>
          <w:b/>
        </w:rPr>
        <w:t>引言续稿：</w:t>
      </w:r>
      <w:r>
        <w:t>生成式AI降低了形成一段文本的门槛，但回复的交付还需要找到当时可用的资料、核对数字与出处、覆盖投资者真正能够获得答案的部分，并说明尚不能确认的内容。因此，“生成了多少文字”与“交付了多少可信信息”是两个不同的生产结果。若只比较每百万Token报价，资料准备与人工审核等投入便被排除在评价之外。</w:t>
      </w:r>
    </w:p>
    <w:p>
      <w:r>
        <w:rPr>
          <w:b/>
        </w:rPr>
        <w:t>引言续稿：</w:t>
      </w:r>
      <w:r>
        <w:t>本文把一条真实投资者问题作为研究单位，在相同历史证据下比较两种模型和两种流程：直接生成，以及先列出证据支持与缺口再生成。通过预先制定的评价规则、匿名独立评分及人工任务计时，考察不同流程的质量、边界处理与成本。研究不预设AI必然提效，也不把合理说明资料不足一概视为失败。</w:t>
      </w:r>
    </w:p>
    <w:p>
      <w:r>
        <w:rPr>
          <w:b/>
        </w:rPr>
        <w:t>研究问题一：</w:t>
      </w:r>
      <w:r>
        <w:t>单条生成成本的排序，与每条合格回复成本的排序是否一致？本次建议配置的两模型基准Token价格相同，因此不预先指定“便宜模型”。比较实际用量与合格率，并区分模型版本、分词方式及回复长度。</w:t>
      </w:r>
    </w:p>
    <w:p>
      <w:r>
        <w:rPr>
          <w:b/>
        </w:rPr>
        <w:t>研究问题二：</w:t>
      </w:r>
      <w:r>
        <w:t>先判断证据边界，是否减少无依据断言？是否同时增加资料足够却拒答的情况？两类错误分别报告，不用单一拒答率代表安全或质量。</w:t>
      </w:r>
    </w:p>
    <w:p>
      <w:r>
        <w:rPr>
          <w:b/>
        </w:rPr>
        <w:t>研究问题三：</w:t>
      </w:r>
      <w:r>
        <w:t>AI辅助节省的撰写时间，在多大程度上被阅读、核验和修改抵消？固定质量、用量与人工时间时，Token单价下降50%能使每条合格交付成本下降多少？</w:t>
      </w:r>
    </w:p>
    <w:p>
      <w:r>
        <w:rPr>
          <w:b/>
        </w:rPr>
        <w:t>贡献与边界：</w:t>
      </w:r>
      <w:r>
        <w:t>三篇核心文献已分别涉及回复质量与信息不对称、互动监督与盈余管理、互动与异质性风险。本文将观察对象推进到证据约束下的回复生产过程，测量合格产出与人工投入。信息公平是研究的社会关切，不能由80道题直接推断已实现市场层面的改善。</w:t>
      </w:r>
    </w:p>
    <w:p>
      <w:r>
        <w:br w:type="page"/>
      </w:r>
    </w:p>
    <w:p>
      <w:pPr>
        <w:pStyle w:val="Heading1"/>
      </w:pPr>
      <w:r>
        <w:t>方法与分析口径：正式实验前冻结</w:t>
      </w:r>
    </w:p>
    <w:p>
      <w:r>
        <w:rPr>
          <w:b/>
        </w:rPr>
        <w:t>研究范围：</w:t>
      </w:r>
      <w:r>
        <w:t>拟选同一交易所、两个非金融行业共8家公司；20道pilot与80道正式题互不重合。正式题四类各约20道，每题在2模型×2流程下生成4份草稿。公司名单、时间窗、采样规则和排除理由由B核定后补入。上述均为计划数量。</w:t>
      </w:r>
    </w:p>
    <w:p>
      <w:r>
        <w:rPr>
          <w:b/>
        </w:rPr>
        <w:t>证据与处理：</w:t>
      </w:r>
      <w:r>
        <w:t>每题只使用提问时点前已公开的冻结证据，两流程使用相同资料和基本约束，均禁用联网。直接组按证据写回复；边界组先形成简短“有依据/有缺口”清单再写回复。边界清单成本纳入API费用。为减少评分标签泄露，给B/D盲评的文本只保留统一格式的最终答复；原始完整输出另外留存。</w:t>
      </w:r>
    </w:p>
    <w:p>
      <w:r>
        <w:rPr>
          <w:b/>
        </w:rPr>
        <w:t>合格与错误指标：</w:t>
      </w:r>
      <w:r>
        <w:t>合格为五项均通过：事实与数字正确、关键断言有出处支持、覆盖可答核心、没有无依据承诺、恰当处理证据边界。D在pilot后冻结细则。无依据断言率和过度拒答率分别报告；后者分母为预标注存在可答核心的题目。B/D独立评分后再处理争议，原评分保留，报告一致率与Cohen’s kappa并提示小样本局限。</w:t>
      </w:r>
    </w:p>
    <w:p>
      <w:r>
        <w:rPr>
          <w:b/>
        </w:rPr>
        <w:t>成本定义：</w:t>
      </w:r>
      <w:r>
        <w:t>对条件g，合格草稿成本K_g=该条件全部生成API费用/合格草稿数。合格数为0时记NA并同时报告费用和失败数量。人工子样本再计算每条合格交付成本：API费、分摊资料准备费、实际阅读/核验/修改劳动及部署摊销之和，除以审核后合格回复数。共享证据不重复算四份；研究用标注成本另列。</w:t>
      </w:r>
    </w:p>
    <w:p>
      <w:r>
        <w:rPr>
          <w:b/>
        </w:rPr>
        <w:t>人工实验：</w:t>
      </w:r>
      <w:r>
        <w:t>拟抽24题，由A/C分别完成纯人工与AI辅助条件，共48次；同一人不重复处理同一道题，条件和先后顺序平衡。用于辅助的模型/流程须按预先规定的pilot选择规则冻结，不能事后挑选正式样本中最好的草稿。记录阅读、写作、核验、修改及模型等待，等待与实际劳动分开。</w:t>
      </w:r>
    </w:p>
    <w:p>
      <w:r>
        <w:rPr>
          <w:b/>
        </w:rPr>
        <w:t>统计与敏感性：</w:t>
      </w:r>
      <w:r>
        <w:t>比较以题目配对，80道题不是320个独立样本。报告差异与不确定性区间，说明8家公司内的相关性及外推限制；不为显著而更换指标。人工结果仅代表两位学生作者的任务表现。按60/120/240元每小时作估值情景，优先报告分钟原值。价格下降50%的静态总成本降幅=50%×API成本占比，不表示质量会保持不变的现实预测。</w:t>
      </w:r>
    </w:p>
    <w:p>
      <w:r>
        <w:rPr>
          <w:b/>
        </w:rPr>
        <w:t>尚待冻结：</w:t>
      </w:r>
      <w:r>
        <w:t>B：样本、证据哈希/版本与答案标准；C：服务ID/地域/参数/官方价表、匿名化映射与脚本；D：评分细则、辅助条件选择规则、计时/超时处理及随机分配。A登记冻结日期与变更理由。正式结果出现后不更改规则来配合结论。</w:t>
      </w:r>
    </w:p>
    <w:p>
      <w:r>
        <w:br w:type="page"/>
      </w:r>
    </w:p>
    <w:p>
      <w:pPr>
        <w:pStyle w:val="Heading1"/>
      </w:pPr>
      <w:r>
        <w:t>主稿骨架与下一轮收件</w:t>
      </w:r>
    </w:p>
    <w:p>
      <w:r>
        <w:rPr>
          <w:b/>
        </w:rPr>
        <w:t>第1章 问题提出：</w:t>
      </w:r>
      <w:r>
        <w:t>案例→回复的经济责任→生成成本与交付成本之别→三项研究问题。现可使用第2页初稿。避免把“Token价格正在下降”写成未经核验的全行业趋势，本文先做降价情景。</w:t>
      </w:r>
    </w:p>
    <w:p>
      <w:r>
        <w:rPr>
          <w:b/>
        </w:rPr>
        <w:t>第2章 文献与机制：</w:t>
      </w:r>
      <w:r>
        <w:t>使用04综述与05精读，围绕信息价值、互动风险和AI文本测量组织文献；结束于本文要补测的“合格产出＋核验劳动”。保留作者、年份、期刊/工作稿状态和精确页码。</w:t>
      </w:r>
    </w:p>
    <w:p>
      <w:r>
        <w:rPr>
          <w:b/>
        </w:rPr>
        <w:t>第3章 数据与研究设计：</w:t>
      </w:r>
      <w:r>
        <w:t>按第3页框架填写真实采样流程、证据截止、提示词、模型配置、评分与人工分配。先写设计原则；公司与数量仅在B确认后改为完成时态。</w:t>
      </w:r>
    </w:p>
    <w:p>
      <w:r>
        <w:rPr>
          <w:b/>
        </w:rPr>
        <w:t>第4章 质量与边界结果：</w:t>
      </w:r>
      <w:r>
        <w:t>待C/D数据：按模型与流程的合格率；无依据断言与过度拒答；四类题分组；匿名错误案例。现在可写表头和解释顺序，不填示例数字冒充结果。</w:t>
      </w:r>
    </w:p>
    <w:p>
      <w:r>
        <w:rPr>
          <w:b/>
        </w:rPr>
        <w:t>第5章 时间、成本与采用条件：</w:t>
      </w:r>
      <w:r>
        <w:t>待C/D数据：纯人工/AI辅助任务时间与质量；草稿成本和交付成本；费用结构；Token价减半与工资情景。低API费不自动推出低交付费；质量没有改善也应如实报告。</w:t>
      </w:r>
    </w:p>
    <w:p>
      <w:r>
        <w:rPr>
          <w:b/>
        </w:rPr>
        <w:t>第6章 讨论与局限：</w:t>
      </w:r>
      <w:r>
        <w:t>以实际结果讨论证据整理、人工审核和责任分工；保留小样本、公司选择、证据包完整性、模型版本漂移、学生作者及公开资料无法验证法律全貌等限制。结论和摘要最后写。</w:t>
      </w:r>
    </w:p>
    <w:p>
      <w:r>
        <w:rPr>
          <w:b/>
        </w:rPr>
        <w:t>下一轮优先输入：</w:t>
      </w:r>
      <w:r>
        <w:t>B先交题号/公司/类型/时间/证据状态主表；C先交建议配置是否可用、四条件技术测试及费用记录；D先交规则草稿与pilot试标分歧。A核实赛事原通知，包括截止、字数、文件格式、引用与AI使用披露要求；现有比赛信息尚未与原通知核对。</w:t>
      </w:r>
    </w:p>
    <w:p>
      <w:r>
        <w:rPr>
          <w:b/>
        </w:rPr>
        <w:t>已核查来源：</w:t>
      </w:r>
      <w:r>
        <w:t>[1] 浙江证监局《行政处罚决定书[2024]4号（思美传媒、李子木）》，2024-01-18：</w:t>
        <w:br/>
        <w:t>https://www.csrc.gov.cn/zhejiang/c103950/c7459526/content.shtml</w:t>
        <w:br/>
        <w:t>[2] 千问价格（北京地域、日期快照）：</w:t>
        <w:br/>
        <w:t>https://help.aliyun.com/zh/model-studio/model-pricing</w:t>
        <w:br/>
        <w:t>[3] 千问思考模式：</w:t>
        <w:br/>
        <w:t>https://help.aliyun.com/zh/model-studio/deep-thinking</w:t>
        <w:br/>
        <w:t>[4] DeepSeek模型及价格：</w:t>
        <w:br/>
        <w:t>https://api-docs.deepseek.com/zh-cn/quick_start/pricing/</w:t>
        <w:br/>
        <w:t>网页核查：2026-10-20；具体版本、价格与参数以C正式冻结时的官方记录及账单校准。核心文献定位见工作簿。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队长A写作底稿｜DeepSeek＋千问｜2026.10.20 ·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D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