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文献补齐，转入预实验</w:t>
      </w:r>
    </w:p>
    <w:p>
      <w:r>
        <w:t>结论：不再等待无法获取的L12。两份上传全文已精读，另以公开期刊全文L14补充反面证据。当前瓶颈是题目、历史证据和评分规则的冻结，100元API预算在下述测算下有余量。以下没有虚构任何实验结果。</w:t>
      </w:r>
    </w:p>
    <w:p>
      <w:pPr>
        <w:pStyle w:val="Heading1"/>
      </w:pPr>
      <w:r>
        <w:t>三篇文献各解决什么问题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</w:trPr>
        <w:tc>
          <w:tcPr>
            <w:tcW w:type="dxa" w:w="3251"/>
            <w:shd w:fill="E5EEF3"/>
          </w:tcPr>
          <w:p>
            <w:pPr>
              <w:spacing w:after="60"/>
            </w:pPr>
            <w:r>
              <w:rPr>
                <w:sz w:val="19"/>
              </w:rPr>
              <w:t>文献</w:t>
            </w:r>
          </w:p>
        </w:tc>
        <w:tc>
          <w:tcPr>
            <w:tcW w:type="dxa" w:w="3251"/>
            <w:shd w:fill="E5EEF3"/>
          </w:tcPr>
          <w:p>
            <w:pPr>
              <w:spacing w:after="60"/>
            </w:pPr>
            <w:r>
              <w:rPr>
                <w:sz w:val="19"/>
              </w:rPr>
              <w:t>核实的样本、指标与结论</w:t>
            </w:r>
          </w:p>
        </w:tc>
        <w:tc>
          <w:tcPr>
            <w:tcW w:type="dxa" w:w="3251"/>
            <w:shd w:fill="E5EEF3"/>
          </w:tcPr>
          <w:p>
            <w:pPr>
              <w:spacing w:after="60"/>
            </w:pPr>
            <w:r>
              <w:rPr>
                <w:sz w:val="19"/>
              </w:rPr>
              <w:t>正文页码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after="60"/>
            </w:pPr>
            <w:r>
              <w:rPr>
                <w:sz w:val="19"/>
              </w:rPr>
              <w:t>Chen等（2025修订工作稿）</w:t>
            </w:r>
          </w:p>
        </w:tc>
        <w:tc>
          <w:tcPr>
            <w:tcW w:type="dxa" w:w="3251"/>
          </w:tcPr>
          <w:p>
            <w:pPr>
              <w:spacing w:after="60"/>
            </w:pPr>
            <w:r>
              <w:rPr>
                <w:sz w:val="19"/>
              </w:rPr>
              <w:t>4,680公司；7,818,963公司—交易日。人工标注训练BERT区分直接回答/非回答；高质量回复与较低报价价差关联较强。未测回复成本。</w:t>
            </w:r>
          </w:p>
        </w:tc>
        <w:tc>
          <w:tcPr>
            <w:tcW w:type="dxa" w:w="3251"/>
          </w:tcPr>
          <w:p>
            <w:pPr>
              <w:spacing w:after="60"/>
            </w:pPr>
            <w:r>
              <w:rPr>
                <w:sz w:val="19"/>
              </w:rPr>
              <w:t>样本9–10；质量18–19、33–34；结果43、45；限制24–26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after="60"/>
            </w:pPr>
            <w:r>
              <w:rPr>
                <w:sz w:val="19"/>
              </w:rPr>
              <w:t>樊犇等（2026），审计与经济研究</w:t>
            </w:r>
          </w:p>
        </w:tc>
        <w:tc>
          <w:tcPr>
            <w:tcW w:type="dxa" w:w="3251"/>
          </w:tcPr>
          <w:p>
            <w:pPr>
              <w:spacing w:after="60"/>
            </w:pPr>
            <w:r>
              <w:rPr>
                <w:sz w:val="19"/>
              </w:rPr>
              <w:t>25,996公司—年。Word2vec初筛后由Qwen2.5-72B识别监督帖，研究其与真实盈余管理的关系。不是AI生成回复实验。</w:t>
            </w:r>
          </w:p>
        </w:tc>
        <w:tc>
          <w:tcPr>
            <w:tcW w:type="dxa" w:w="3251"/>
          </w:tcPr>
          <w:p>
            <w:pPr>
              <w:spacing w:after="60"/>
            </w:pPr>
            <w:r>
              <w:rPr>
                <w:sz w:val="19"/>
              </w:rPr>
              <w:t>样本97；指标98；表2 99；机制101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after="60"/>
            </w:pPr>
            <w:r>
              <w:rPr>
                <w:sz w:val="19"/>
              </w:rPr>
              <w:t>徐寿福等（2022），财经研究</w:t>
            </w:r>
          </w:p>
        </w:tc>
        <w:tc>
          <w:tcPr>
            <w:tcW w:type="dxa" w:w="3251"/>
          </w:tcPr>
          <w:p>
            <w:pPr>
              <w:spacing w:after="60"/>
            </w:pPr>
            <w:r>
              <w:rPr>
                <w:sz w:val="19"/>
              </w:rPr>
              <w:t>92,155公司—季度；互动频次/字数与异质性风险正相关，提供信息环境未必因互动增加而改善的背景。</w:t>
            </w:r>
          </w:p>
        </w:tc>
        <w:tc>
          <w:tcPr>
            <w:tcW w:type="dxa" w:w="3251"/>
          </w:tcPr>
          <w:p>
            <w:pPr>
              <w:spacing w:after="60"/>
            </w:pPr>
            <w:r>
              <w:rPr>
                <w:sz w:val="19"/>
              </w:rPr>
              <w:t>样本156；指标157；结果159；机制162</w:t>
            </w:r>
          </w:p>
        </w:tc>
      </w:tr>
    </w:tbl>
    <w:p>
      <w:r>
        <w:t>页码区分：Chen稿PDF第1页为无正文页码封面，因此PDF序号=正文页+1；樊文PDF序号=印刷页−93；徐文PDF序号=印刷页−152。工作簿保留逐项定位。</w:t>
      </w:r>
    </w:p>
    <w:p>
      <w:hyperlink r:id="rId11">
        <w:r>
          <w:rPr>
            <w:color w:val="176D9A"/>
          </w:rPr>
          <w:t>替代论文：期刊官网完整PDF（点击可打开并保存）</w:t>
        </w:r>
      </w:hyperlink>
    </w:p>
    <w:p>
      <w:pPr>
        <w:pStyle w:val="Heading1"/>
      </w:pPr>
      <w:r>
        <w:t>必须改掉的四种写法</w:t>
      </w:r>
    </w:p>
    <w:p>
      <w:pPr>
        <w:pStyle w:val="ListBullet"/>
      </w:pPr>
      <w:r>
        <w:t>2025修订稿不能沿用2022稿的样本量、45.57小时时效阈值和相似度指标；新版阈值为56.98小时。</w:t>
      </w:r>
    </w:p>
    <w:p>
      <w:pPr>
        <w:pStyle w:val="ListBullet"/>
      </w:pPr>
      <w:r>
        <w:t>分类准确率94.30%对应“提问/评论”，92.00%对应“回复质量”；均不等于AI生成回复的事实准确率。</w:t>
      </w:r>
    </w:p>
    <w:p>
      <w:pPr>
        <w:pStyle w:val="ListBullet"/>
      </w:pPr>
      <w:r>
        <w:t>合理说明证据缺口、同时回答可答部分，可以合格；资料充分却只说“请关注公告”，可能是过度拒答。</w:t>
      </w:r>
    </w:p>
    <w:p>
      <w:pPr>
        <w:pStyle w:val="ListBullet"/>
      </w:pPr>
      <w:r>
        <w:t>不能宣称首次把大模型用于投资者互动，也不能由80道题推断市场信息公平已经改善。</w:t>
      </w:r>
    </w:p>
    <w:p>
      <w:r>
        <w:br w:type="page"/>
      </w:r>
    </w:p>
    <w:p>
      <w:pPr>
        <w:pStyle w:val="Heading1"/>
      </w:pPr>
      <w:r>
        <w:t>报告综述可用稿</w:t>
      </w:r>
    </w:p>
    <w:p>
      <w:r>
        <w:t>现有研究显示，投资者互动的价值取决于互动内容、回应方式和信息环境，不能仅凭回复数量评判。Chen等（2025年8月修订稿）使用4,680家公司、7,818,963个公司—交易日观测，并以人工标注训练分类器区分回复质量；高质量回复与较低报价价差的关联较强，但近期样本中及时与不及时高质量回复的差异不显著，作者也未测量回复成本。因此，这项研究可以支持进一步研究回复质量，却不能直接给出采用AI的净收益。</w:t>
      </w:r>
    </w:p>
    <w:p>
      <w:r>
        <w:t>樊犇等（2026）借助Word2vec与Qwen2.5-72B识别互动监督，基于25,996个公司—年度观测研究真实盈余管理。其研究证明大模型已被用于互动文本测量，但不属于AI生成公司回复的质量或成本实验。对本报告而言，需要独立建立事实与证据标准，而不能把文本分类标签直接作为“合格回复”判据。</w:t>
      </w:r>
    </w:p>
    <w:p>
      <w:r>
        <w:t>本文据此把研究单位缩小为一条投资者问题，在相同历史证据下比较直接生成与边界判断后生成，并记录API、资料准备及人工核验修改成本。本文拟检验价格差异在按合格产出调整后是否仍然存在，以及边界判断降低无依据断言时是否增加过度拒答。可检验的贡献是回复生产流程的质量—成本权衡；信息公平与投资者保护属于其社会意义和后续验证方向，不能由小样本回复实验直接证明。</w:t>
      </w:r>
    </w:p>
    <w:p>
      <w:pPr>
        <w:pStyle w:val="Heading1"/>
      </w:pPr>
      <w:r>
        <w:t>评分与成本口径的补充</w:t>
      </w:r>
    </w:p>
    <w:p>
      <w:r>
        <w:t>评分应分别记录事实与数字、证据支持、可答信息覆盖、边界处理。把“可答仍拒答”和“无依据仍断言”同时记为错误；最终合格阈值由D在pilot试标后、正式调用前冻结。</w:t>
      </w:r>
    </w:p>
    <w:p>
      <w:r>
        <w:t>资料不足不是证明全网未披露。记录“在已冻结证据包和检索范围内未找到依据”；对纯投资建议或预测承诺类，明确该限制，不把所有含“未来”的问题一律拒答。</w:t>
      </w:r>
    </w:p>
    <w:p>
      <w:r>
        <w:t>分别计算合格草稿成本与人工审核后合格交付成本。后者只在人工子样本上估计；工资采用情景值。价格下降50%的静态敏感性图应固定质量、用量和人工时间，总成本降幅=50%×API成本占比。</w:t>
      </w:r>
    </w:p>
    <w:p>
      <w:r>
        <w:t>樊文基准REM与稳健性REMs公式符号不同，已依原页分别记录。该文正文未给出独立人工验证集准确率；本研究仍需B/D独立评分和争议记录，不能以模型标签代替人工标准。</w:t>
      </w:r>
    </w:p>
    <w:p>
      <w:pPr>
        <w:pStyle w:val="Heading1"/>
      </w:pPr>
      <w:r>
        <w:t>A当前的验收任务</w:t>
      </w:r>
    </w:p>
    <w:p>
      <w:r>
        <w:t>固定问题与贡献表述、完成文献综述、验收20题证据和评分规则。A/C正式人工任务的答案仍须隔离。若20日晚pilot不能通过，先明确缩减方案并在正式结果产生前登记；不因工期用未核材料补齐80题。</w:t>
      </w:r>
    </w:p>
    <w:p>
      <w:r>
        <w:t>仍需团队提供：比赛通知/评分标准原文；其余15条候选题及证据；C完成的模型连通测试、首批usage与账单（不含密钥）。既有10月29日22:00及天津大学分赛场要求来自现有方案，待原通知核实。</w:t>
      </w:r>
    </w:p>
    <w:p>
      <w:r>
        <w:br w:type="page"/>
      </w:r>
    </w:p>
    <w:p>
      <w:pPr>
        <w:pStyle w:val="Heading1"/>
      </w:pPr>
      <w:r>
        <w:t>公司、模型与100元预算建议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</w:trPr>
        <w:tc>
          <w:tcPr>
            <w:tcW w:type="dxa" w:w="3251"/>
            <w:shd w:fill="E5EEF3"/>
          </w:tcPr>
          <w:p>
            <w:pPr>
              <w:spacing w:after="60"/>
            </w:pPr>
            <w:r>
              <w:rPr>
                <w:sz w:val="19"/>
              </w:rPr>
              <w:t>候选业务组</w:t>
            </w:r>
          </w:p>
        </w:tc>
        <w:tc>
          <w:tcPr>
            <w:tcW w:type="dxa" w:w="3251"/>
            <w:shd w:fill="E5EEF3"/>
          </w:tcPr>
          <w:p>
            <w:pPr>
              <w:spacing w:after="60"/>
            </w:pPr>
            <w:r>
              <w:rPr>
                <w:sz w:val="19"/>
              </w:rPr>
              <w:t>公司及代码</w:t>
            </w:r>
          </w:p>
        </w:tc>
        <w:tc>
          <w:tcPr>
            <w:tcW w:type="dxa" w:w="3251"/>
            <w:shd w:fill="E5EEF3"/>
          </w:tcPr>
          <w:p>
            <w:pPr>
              <w:spacing w:after="60"/>
            </w:pPr>
            <w:r>
              <w:rPr>
                <w:sz w:val="19"/>
              </w:rPr>
              <w:t>采样建议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after="60"/>
            </w:pPr>
            <w:r>
              <w:rPr>
                <w:sz w:val="19"/>
              </w:rPr>
              <w:t>消费电子</w:t>
            </w:r>
          </w:p>
        </w:tc>
        <w:tc>
          <w:tcPr>
            <w:tcW w:type="dxa" w:w="3251"/>
          </w:tcPr>
          <w:p>
            <w:pPr>
              <w:spacing w:after="60"/>
            </w:pPr>
            <w:r>
              <w:rPr>
                <w:sz w:val="19"/>
              </w:rPr>
              <w:t>智动力300686；立讯精密002475；歌尔股份002241；蓝思科技300433</w:t>
            </w:r>
          </w:p>
        </w:tc>
        <w:tc>
          <w:tcPr>
            <w:tcW w:type="dxa" w:w="3251"/>
          </w:tcPr>
          <w:p>
            <w:pPr>
              <w:spacing w:after="60"/>
            </w:pPr>
            <w:r>
              <w:rPr>
                <w:sz w:val="19"/>
              </w:rPr>
              <w:t>每家10道正式题；已有5道pilot不复用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after="60"/>
            </w:pPr>
            <w:r>
              <w:rPr>
                <w:sz w:val="19"/>
              </w:rPr>
              <w:t>家电</w:t>
            </w:r>
          </w:p>
        </w:tc>
        <w:tc>
          <w:tcPr>
            <w:tcW w:type="dxa" w:w="3251"/>
          </w:tcPr>
          <w:p>
            <w:pPr>
              <w:spacing w:after="60"/>
            </w:pPr>
            <w:r>
              <w:rPr>
                <w:sz w:val="19"/>
              </w:rPr>
              <w:t>美的集团000333；格力电器000651；老板电器002508；苏泊尔002032</w:t>
            </w:r>
          </w:p>
        </w:tc>
        <w:tc>
          <w:tcPr>
            <w:tcW w:type="dxa" w:w="3251"/>
          </w:tcPr>
          <w:p>
            <w:pPr>
              <w:spacing w:after="60"/>
            </w:pPr>
            <w:r>
              <w:rPr>
                <w:sz w:val="19"/>
              </w:rPr>
              <w:t>每家10道；以可获得真实问题及提问前证据为准</w:t>
            </w:r>
          </w:p>
        </w:tc>
      </w:tr>
    </w:tbl>
    <w:p>
      <w:r>
        <w:t>这8家只是候选。B需按同一口径核对行业分类、问题与公告可得性；正文如实说明小样本选择。正式窗口暂建议2026年5—9月，20日完成可得性检查后冻结。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</w:trPr>
        <w:tc>
          <w:tcPr>
            <w:tcW w:type="dxa" w:w="3251"/>
            <w:shd w:fill="E5EEF3"/>
          </w:tcPr>
          <w:p>
            <w:pPr>
              <w:spacing w:after="60"/>
            </w:pPr>
            <w:r>
              <w:rPr>
                <w:sz w:val="19"/>
              </w:rPr>
              <w:t>建议模型</w:t>
            </w:r>
          </w:p>
        </w:tc>
        <w:tc>
          <w:tcPr>
            <w:tcW w:type="dxa" w:w="3251"/>
            <w:shd w:fill="E5EEF3"/>
          </w:tcPr>
          <w:p>
            <w:pPr>
              <w:spacing w:after="60"/>
            </w:pPr>
            <w:r>
              <w:rPr>
                <w:sz w:val="19"/>
              </w:rPr>
              <w:t>调用/版本记录</w:t>
            </w:r>
          </w:p>
        </w:tc>
        <w:tc>
          <w:tcPr>
            <w:tcW w:type="dxa" w:w="3251"/>
            <w:shd w:fill="E5EEF3"/>
          </w:tcPr>
          <w:p>
            <w:pPr>
              <w:spacing w:after="60"/>
            </w:pPr>
            <w:r>
              <w:rPr>
                <w:sz w:val="19"/>
              </w:rPr>
              <w:t>每百万Token输入／输出（元）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after="60"/>
            </w:pPr>
            <w:r>
              <w:rPr>
                <w:sz w:val="19"/>
              </w:rPr>
              <w:t>DeepSeek Flash</w:t>
            </w:r>
          </w:p>
        </w:tc>
        <w:tc>
          <w:tcPr>
            <w:tcW w:type="dxa" w:w="3251"/>
          </w:tcPr>
          <w:p>
            <w:pPr>
              <w:spacing w:after="60"/>
            </w:pPr>
            <w:r>
              <w:rPr>
                <w:sz w:val="19"/>
              </w:rPr>
              <w:t>deepseek-flash；当前映射DeepSeek-V4.1-Flash-1017；保留别名更新限制</w:t>
            </w:r>
          </w:p>
        </w:tc>
        <w:tc>
          <w:tcPr>
            <w:tcW w:type="dxa" w:w="3251"/>
          </w:tcPr>
          <w:p>
            <w:pPr>
              <w:spacing w:after="60"/>
            </w:pPr>
            <w:r>
              <w:rPr>
                <w:sz w:val="19"/>
              </w:rPr>
              <w:t>高峰未命中缓存：2／8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after="60"/>
            </w:pPr>
            <w:r>
              <w:rPr>
                <w:sz w:val="19"/>
              </w:rPr>
              <w:t>豆包Seed 2.1 Pro</w:t>
            </w:r>
          </w:p>
        </w:tc>
        <w:tc>
          <w:tcPr>
            <w:tcW w:type="dxa" w:w="3251"/>
          </w:tcPr>
          <w:p>
            <w:pPr>
              <w:spacing w:after="60"/>
            </w:pPr>
            <w:r>
              <w:rPr>
                <w:sz w:val="19"/>
              </w:rPr>
              <w:t>doubao-seed-2-1-pro-260915；待C验证账号可用</w:t>
            </w:r>
          </w:p>
        </w:tc>
        <w:tc>
          <w:tcPr>
            <w:tcW w:type="dxa" w:w="3251"/>
          </w:tcPr>
          <w:p>
            <w:pPr>
              <w:spacing w:after="60"/>
            </w:pPr>
            <w:r>
              <w:rPr>
                <w:sz w:val="19"/>
              </w:rPr>
              <w:t>常规在线非音频：6／30</w:t>
            </w:r>
          </w:p>
        </w:tc>
      </w:tr>
    </w:tbl>
    <w:p>
      <w:r>
        <w:t>按20×2×2=80次pilot、80×2×2=320次正式，两模型各200次；每次6000输入、1000输出Token假设下，DeepSeek 4元、豆包13.2元，合计17.2元。较长情景每次10000输入/2000输出为31.2元，加30%调用冗余约40.56元。以上不是实测费用，也不含人工。</w:t>
      </w:r>
    </w:p>
    <w:p>
      <w:r>
        <w:t>预算分配：pilot上限10元、正式60元、技术重试20元、保留10元。先验证1题×4条件，记录usage与账单；内容不合格不重抽。建议两模型显式关闭内置深度思考，不使用联网工具；边界流程仅增加简短证据核对清单。</w:t>
      </w:r>
    </w:p>
    <w:p>
      <w:r>
        <w:t>两模型使用同一证据文本、相同回复篇幅；实际Token由各自分词器决定。记录缓存、完成时段及服务版本，另按统一参考价重算费用。DeepSeek别名无法承诺永久锁定；正式实验尽量集中运行，发现版本变更及时停下核查。</w:t>
      </w:r>
    </w:p>
    <w:p>
      <w:hyperlink r:id="rId12">
        <w:r>
          <w:rPr>
            <w:color w:val="176D9A"/>
          </w:rPr>
          <w:t>DeepSeek官方价表（核查日2026-10-19）</w:t>
        </w:r>
      </w:hyperlink>
    </w:p>
    <w:p>
      <w:hyperlink r:id="rId13">
        <w:r>
          <w:rPr>
            <w:color w:val="176D9A"/>
          </w:rPr>
          <w:t>火山方舟官方价表（核查日2026-10-19）</w:t>
        </w:r>
      </w:hyperlink>
    </w:p>
    <w:p>
      <w:r>
        <w:br w:type="page"/>
      </w:r>
    </w:p>
    <w:p>
      <w:pPr>
        <w:pStyle w:val="Heading1"/>
      </w:pPr>
      <w:r>
        <w:t>5题现状与接下来48小时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4876"/>
            <w:shd w:fill="E5EEF3"/>
          </w:tcPr>
          <w:p>
            <w:pPr>
              <w:spacing w:after="60"/>
            </w:pPr>
            <w:r>
              <w:rPr>
                <w:sz w:val="19"/>
              </w:rPr>
              <w:t>pilot题</w:t>
            </w:r>
          </w:p>
        </w:tc>
        <w:tc>
          <w:tcPr>
            <w:tcW w:type="dxa" w:w="4876"/>
            <w:shd w:fill="E5EEF3"/>
          </w:tcPr>
          <w:p>
            <w:pPr>
              <w:spacing w:after="60"/>
            </w:pPr>
            <w:r>
              <w:rPr>
                <w:sz w:val="19"/>
              </w:rPr>
              <w:t>简要核查结论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60"/>
            </w:pPr>
            <w:r>
              <w:rPr>
                <w:sz w:val="19"/>
              </w:rPr>
              <w:t>P-A01 B 综合解释</w:t>
            </w:r>
          </w:p>
        </w:tc>
        <w:tc>
          <w:tcPr>
            <w:tcW w:type="dxa" w:w="4876"/>
          </w:tcPr>
          <w:p>
            <w:pPr>
              <w:spacing w:after="60"/>
            </w:pPr>
            <w:r>
              <w:rPr>
                <w:sz w:val="19"/>
              </w:rPr>
              <w:t>按年报作会计分解：归母同比减亏2,062.53万元，非经常性损益改善2,415.97万元，扣非归母反而下降353.43万元。主要体现非经常性损益改善，不能据此称主营业务扭亏。[E01]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60"/>
            </w:pPr>
            <w:r>
              <w:rPr>
                <w:sz w:val="19"/>
              </w:rPr>
              <w:t>P-A02 C 部分可答（季度分配缺口）</w:t>
            </w:r>
          </w:p>
        </w:tc>
        <w:tc>
          <w:tcPr>
            <w:tcW w:type="dxa" w:w="4876"/>
          </w:tcPr>
          <w:p>
            <w:pPr>
              <w:spacing w:after="60"/>
            </w:pPr>
            <w:r>
              <w:rPr>
                <w:sz w:val="19"/>
              </w:rPr>
              <w:t>两期增幅可核实。年报研发项目涉及背板结构、复合板材及电池生产治具。可介绍这些已披露方向，但所给一季报未分项说明新增研发费用的项目分配。[E02–E03]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60"/>
            </w:pPr>
            <w:r>
              <w:rPr>
                <w:sz w:val="19"/>
              </w:rPr>
              <w:t>P-A03 B 综合解释</w:t>
            </w:r>
          </w:p>
        </w:tc>
        <w:tc>
          <w:tcPr>
            <w:tcW w:type="dxa" w:w="4876"/>
          </w:tcPr>
          <w:p>
            <w:pPr>
              <w:spacing w:after="60"/>
            </w:pPr>
            <w:r>
              <w:rPr>
                <w:sz w:val="19"/>
              </w:rPr>
              <w:t>2025年境外收入约3.53亿元，占22.20%，同比下降24.01%。公司在越南设有生产布局，已披露计划涉及优化含越南在内的产能与协同；计划不等于订单或业绩保证。[E04–E05、E08]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60"/>
            </w:pPr>
            <w:r>
              <w:rPr>
                <w:sz w:val="19"/>
              </w:rPr>
              <w:t>P-A04 B 综合解释（范围受限）</w:t>
            </w:r>
          </w:p>
        </w:tc>
        <w:tc>
          <w:tcPr>
            <w:tcW w:type="dxa" w:w="4876"/>
          </w:tcPr>
          <w:p>
            <w:pPr>
              <w:spacing w:after="60"/>
            </w:pPr>
            <w:r>
              <w:rPr>
                <w:sz w:val="19"/>
              </w:rPr>
              <w:t>年报将固液混合电池等对应载重型低空飞行器、人形机器人，并讨论相关场景的能量密度、安全与寿命需求。可解释这一适配逻辑；不能据此确认客户订单或量产成效。[E06、E08]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60"/>
            </w:pPr>
            <w:r>
              <w:rPr>
                <w:sz w:val="19"/>
              </w:rPr>
              <w:t>P-A05 A 直接事实</w:t>
            </w:r>
          </w:p>
        </w:tc>
        <w:tc>
          <w:tcPr>
            <w:tcW w:type="dxa" w:w="4876"/>
          </w:tcPr>
          <w:p>
            <w:pPr>
              <w:spacing w:after="60"/>
            </w:pPr>
            <w:r>
              <w:rPr>
                <w:sz w:val="19"/>
              </w:rPr>
              <w:t>年报披露，相关三个项目终止后的剩余募集资金324,274,902.04元用于永久补充流动资金。不能进一步推断已全部投向某一新业务。[E07]</w:t>
            </w:r>
          </w:p>
        </w:tc>
      </w:tr>
    </w:tbl>
    <w:p>
      <w:r>
        <w:t>这5题均来自智动力2026年5月20日说明会，统一证据截止为5月19日23:59:59。问题原文、时点、URL、证据页码、参考答案和数值复算在工作簿；后续公司回复单独隔离。公告原页尚待归档，B/D尚待独立复核，不能称预实验已完成。</w:t>
      </w:r>
    </w:p>
    <w:p>
      <w:r>
        <w:t>其余15题优先补直接事实4题、综合解释2题、部分可答4题、资料不足/限制5题，并覆盖家电行业与其他公司。D类必须有真实问题来源，不能自行编题来凑配额。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4876"/>
            <w:shd w:fill="E5EEF3"/>
          </w:tcPr>
          <w:p>
            <w:pPr>
              <w:spacing w:after="60"/>
            </w:pPr>
            <w:r>
              <w:rPr>
                <w:sz w:val="19"/>
              </w:rPr>
              <w:t>时间（北京时间）</w:t>
            </w:r>
          </w:p>
        </w:tc>
        <w:tc>
          <w:tcPr>
            <w:tcW w:type="dxa" w:w="4876"/>
            <w:shd w:fill="E5EEF3"/>
          </w:tcPr>
          <w:p>
            <w:pPr>
              <w:spacing w:after="60"/>
            </w:pPr>
            <w:r>
              <w:rPr>
                <w:sz w:val="19"/>
              </w:rPr>
              <w:t>需交成果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60"/>
            </w:pPr>
            <w:r>
              <w:rPr>
                <w:sz w:val="19"/>
              </w:rPr>
              <w:t>10月19—20日</w:t>
            </w:r>
          </w:p>
        </w:tc>
        <w:tc>
          <w:tcPr>
            <w:tcW w:type="dxa" w:w="4876"/>
          </w:tcPr>
          <w:p>
            <w:pPr>
              <w:spacing w:after="60"/>
            </w:pPr>
            <w:r>
              <w:rPr>
                <w:sz w:val="19"/>
              </w:rPr>
              <w:t>完成20题pilot及80次调用；建立证据包与评分试标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60"/>
            </w:pPr>
            <w:r>
              <w:rPr>
                <w:sz w:val="19"/>
              </w:rPr>
              <w:t>10月20日晚</w:t>
            </w:r>
          </w:p>
        </w:tc>
        <w:tc>
          <w:tcPr>
            <w:tcW w:type="dxa" w:w="4876"/>
          </w:tcPr>
          <w:p>
            <w:pPr>
              <w:spacing w:after="60"/>
            </w:pPr>
            <w:r>
              <w:rPr>
                <w:sz w:val="19"/>
              </w:rPr>
              <w:t>预实验通过后冻结正式方案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60"/>
            </w:pPr>
            <w:r>
              <w:rPr>
                <w:sz w:val="19"/>
              </w:rPr>
              <w:t>10月21—22日</w:t>
            </w:r>
          </w:p>
        </w:tc>
        <w:tc>
          <w:tcPr>
            <w:tcW w:type="dxa" w:w="4876"/>
          </w:tcPr>
          <w:p>
            <w:pPr>
              <w:spacing w:after="60"/>
            </w:pPr>
            <w:r>
              <w:rPr>
                <w:sz w:val="19"/>
              </w:rPr>
              <w:t>正式80题、证据与答案标准冻结；完成320份草稿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60"/>
            </w:pPr>
            <w:r>
              <w:rPr>
                <w:sz w:val="19"/>
              </w:rPr>
              <w:t>10月23—24日</w:t>
            </w:r>
          </w:p>
        </w:tc>
        <w:tc>
          <w:tcPr>
            <w:tcW w:type="dxa" w:w="4876"/>
          </w:tcPr>
          <w:p>
            <w:pPr>
              <w:spacing w:after="60"/>
            </w:pPr>
            <w:r>
              <w:rPr>
                <w:sz w:val="19"/>
              </w:rPr>
              <w:t>48次人工任务、独立评分、成本与图表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60"/>
            </w:pPr>
            <w:r>
              <w:rPr>
                <w:sz w:val="19"/>
              </w:rPr>
              <w:t>10月25日</w:t>
            </w:r>
          </w:p>
        </w:tc>
        <w:tc>
          <w:tcPr>
            <w:tcW w:type="dxa" w:w="4876"/>
          </w:tcPr>
          <w:p>
            <w:pPr>
              <w:spacing w:after="60"/>
            </w:pPr>
            <w:r>
              <w:rPr>
                <w:sz w:val="19"/>
              </w:rPr>
              <w:t>完整初稿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60"/>
            </w:pPr>
            <w:r>
              <w:rPr>
                <w:sz w:val="19"/>
              </w:rPr>
              <w:t>10月26—27日</w:t>
            </w:r>
          </w:p>
        </w:tc>
        <w:tc>
          <w:tcPr>
            <w:tcW w:type="dxa" w:w="4876"/>
          </w:tcPr>
          <w:p>
            <w:pPr>
              <w:spacing w:after="60"/>
            </w:pPr>
            <w:r>
              <w:rPr>
                <w:sz w:val="19"/>
              </w:rPr>
              <w:t>交叉审稿与稳健性核对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60"/>
            </w:pPr>
            <w:r>
              <w:rPr>
                <w:sz w:val="19"/>
              </w:rPr>
              <w:t>10月28日</w:t>
            </w:r>
          </w:p>
        </w:tc>
        <w:tc>
          <w:tcPr>
            <w:tcW w:type="dxa" w:w="4876"/>
          </w:tcPr>
          <w:p>
            <w:pPr>
              <w:spacing w:after="60"/>
            </w:pPr>
            <w:r>
              <w:rPr>
                <w:sz w:val="19"/>
              </w:rPr>
              <w:t>Word/PDF定稿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60"/>
            </w:pPr>
            <w:r>
              <w:rPr>
                <w:sz w:val="19"/>
              </w:rPr>
              <w:t>10月29日18:00</w:t>
            </w:r>
          </w:p>
        </w:tc>
        <w:tc>
          <w:tcPr>
            <w:tcW w:type="dxa" w:w="4876"/>
          </w:tcPr>
          <w:p>
            <w:pPr>
              <w:spacing w:after="60"/>
            </w:pPr>
            <w:r>
              <w:rPr>
                <w:sz w:val="19"/>
              </w:rPr>
              <w:t>内部提交目标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今经乐道｜队长A研究精读与推进建议｜2026.10.19 · v0.3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D5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D5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69" w:lineRule="auto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69" w:lineRule="auto" w:after="100"/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qks.shufe.edu.cn/j/PDFFull/17794c14-b22d-4e71-b91b-053fc480a45a.pdf" TargetMode="External"/><Relationship Id="rId12" Type="http://schemas.openxmlformats.org/officeDocument/2006/relationships/hyperlink" Target="https://api-docs.deepseek.com/zh-cn/quick_start/pricing/" TargetMode="External"/><Relationship Id="rId13" Type="http://schemas.openxmlformats.org/officeDocument/2006/relationships/hyperlink" Target="https://console.volcengine.com/ark/region%3Acn-beijing/docs/model-pric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