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MiniJarvis — auditoría y guía docente revisada</w:t>
      </w:r>
    </w:p>
    <w:p>
      <w:r>
        <w:rPr>
          <w:b/>
        </w:rPr>
        <w:t xml:space="preserve">Ámbito: </w:t>
      </w:r>
      <w:r>
        <w:t>Programación de 1.º DAW. Revisión del material H1, libro por hitos, Tema 1, ecosistema digital, sesiones y presentaciones.</w:t>
      </w:r>
    </w:p>
    <w:p>
      <w:pPr>
        <w:pStyle w:val="Heading1"/>
      </w:pPr>
      <w:r>
        <w:t>1. Resultado de la auditoría de plantillas</w:t>
      </w:r>
    </w:p>
    <w:p>
      <w:r>
        <w:t>Hecho confirmado en las fuentes: existe una plantilla maestra de diario individual en Excel, con las columnas Fecha, Sesión, Hito, Objetivo, Qué hice, Prueba realizada, URL de evidencia, Resultado, Bloqueo, Uso de IA, Cómo validé la IA y Siguiente paso. También existen estructuras documentadas para Site personal y Site de equipo.</w:t>
      </w:r>
    </w:p>
    <w:p>
      <w:r>
        <w:t>Carencia detectada: el diario está en el paquete del profesorado, pero no aparece como archivo XLSX dentro del paquete HTML/Moodle del alumnado. Por tanto, no falta conceptualmente la plantilla, pero sí hay un problema de distribución al alumnado.</w:t>
      </w:r>
    </w:p>
    <w:p>
      <w:r>
        <w:t>Decisión didáctica aplicada: se incluye en este paquete una copia del diario maestro sin cambiar su estructura y dos plantillas visuales/copy-ready para las páginas H1 de Google Sites.</w:t>
      </w:r>
    </w:p>
    <w:p>
      <w:r>
        <w:t>Pendiente técnico: Google Sites no ofrece aquí un formato de archivo importable equivalente a PPTX/DOCX. Las dos plantillas HTML son modelos exactos de contenido y composición para replicar en Sites; no son un fichero que Google Sites importe automáticamente.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362AC"/>
          </w:tcPr>
          <w:p>
            <w:r>
              <w:rPr>
                <w:b/>
                <w:color w:val="FFFFFF"/>
              </w:rPr>
              <w:t>Elemento</w:t>
            </w:r>
          </w:p>
        </w:tc>
        <w:tc>
          <w:tcPr>
            <w:tcW w:type="dxa" w:w="3360"/>
            <w:vAlign w:val="center"/>
            <w:shd w:fill="3362AC"/>
          </w:tcPr>
          <w:p>
            <w:r>
              <w:rPr>
                <w:b/>
                <w:color w:val="FFFFFF"/>
              </w:rPr>
              <w:t>Estado</w:t>
            </w:r>
          </w:p>
        </w:tc>
        <w:tc>
          <w:tcPr>
            <w:tcW w:type="dxa" w:w="3360"/>
            <w:vAlign w:val="center"/>
            <w:shd w:fill="3362AC"/>
          </w:tcPr>
          <w:p>
            <w:r>
              <w:rPr>
                <w:b/>
                <w:color w:val="FFFFFF"/>
              </w:rPr>
              <w:t>Acción</w:t>
            </w:r>
          </w:p>
        </w:tc>
      </w:tr>
      <w:tr>
        <w:tc>
          <w:tcPr>
            <w:tcW w:type="dxa" w:w="3360"/>
          </w:tcPr>
          <w:p>
            <w:r>
              <w:t>Diario individual</w:t>
            </w:r>
          </w:p>
        </w:tc>
        <w:tc>
          <w:tcPr>
            <w:tcW w:type="dxa" w:w="3360"/>
          </w:tcPr>
          <w:p>
            <w:r>
              <w:t>Existe, pero no llega como XLSX al paquete del alumnado</w:t>
            </w:r>
          </w:p>
        </w:tc>
        <w:tc>
          <w:tcPr>
            <w:tcW w:type="dxa" w:w="3360"/>
          </w:tcPr>
          <w:p>
            <w:r>
              <w:t>Incluir la copia maestra en las plantillas H1.</w:t>
            </w:r>
          </w:p>
        </w:tc>
      </w:tr>
      <w:tr>
        <w:tc>
          <w:tcPr>
            <w:tcW w:type="dxa" w:w="3360"/>
          </w:tcPr>
          <w:p>
            <w:r>
              <w:t>Portfolio H1</w:t>
            </w:r>
          </w:p>
        </w:tc>
        <w:tc>
          <w:tcPr>
            <w:tcW w:type="dxa" w:w="3360"/>
          </w:tcPr>
          <w:p>
            <w:r>
              <w:t>Existe plantilla HTML en H1</w:t>
            </w:r>
          </w:p>
        </w:tc>
        <w:tc>
          <w:tcPr>
            <w:tcW w:type="dxa" w:w="3360"/>
          </w:tcPr>
          <w:p>
            <w:r>
              <w:t>Mantener; el Site personal selecciona evidencias, no duplica el diario.</w:t>
            </w:r>
          </w:p>
        </w:tc>
      </w:tr>
      <w:tr>
        <w:tc>
          <w:tcPr>
            <w:tcW w:type="dxa" w:w="3360"/>
          </w:tcPr>
          <w:p>
            <w:r>
              <w:t>README H1</w:t>
            </w:r>
          </w:p>
        </w:tc>
        <w:tc>
          <w:tcPr>
            <w:tcW w:type="dxa" w:w="3360"/>
          </w:tcPr>
          <w:p>
            <w:r>
              <w:t>Existe plantilla en H1</w:t>
            </w:r>
          </w:p>
        </w:tc>
        <w:tc>
          <w:tcPr>
            <w:tcW w:type="dxa" w:w="3360"/>
          </w:tcPr>
          <w:p>
            <w:r>
              <w:t>Mantener.</w:t>
            </w:r>
          </w:p>
        </w:tc>
      </w:tr>
      <w:tr>
        <w:tc>
          <w:tcPr>
            <w:tcW w:type="dxa" w:w="3360"/>
          </w:tcPr>
          <w:p>
            <w:r>
              <w:t>Evidencia de ejecución</w:t>
            </w:r>
          </w:p>
        </w:tc>
        <w:tc>
          <w:tcPr>
            <w:tcW w:type="dxa" w:w="3360"/>
          </w:tcPr>
          <w:p>
            <w:r>
              <w:t>Existe plantilla en H1</w:t>
            </w:r>
          </w:p>
        </w:tc>
        <w:tc>
          <w:tcPr>
            <w:tcW w:type="dxa" w:w="3360"/>
          </w:tcPr>
          <w:p>
            <w:r>
              <w:t>Mantener.</w:t>
            </w:r>
          </w:p>
        </w:tc>
      </w:tr>
      <w:tr>
        <w:tc>
          <w:tcPr>
            <w:tcW w:type="dxa" w:w="3360"/>
          </w:tcPr>
          <w:p>
            <w:r>
              <w:t>Incidencia</w:t>
            </w:r>
          </w:p>
        </w:tc>
        <w:tc>
          <w:tcPr>
            <w:tcW w:type="dxa" w:w="3360"/>
          </w:tcPr>
          <w:p>
            <w:r>
              <w:t>Existe plantilla en H1</w:t>
            </w:r>
          </w:p>
        </w:tc>
        <w:tc>
          <w:tcPr>
            <w:tcW w:type="dxa" w:w="3360"/>
          </w:tcPr>
          <w:p>
            <w:r>
              <w:t>Mantener.</w:t>
            </w:r>
          </w:p>
        </w:tc>
      </w:tr>
      <w:tr>
        <w:tc>
          <w:tcPr>
            <w:tcW w:type="dxa" w:w="3360"/>
          </w:tcPr>
          <w:p>
            <w:r>
              <w:t>Registro IA</w:t>
            </w:r>
          </w:p>
        </w:tc>
        <w:tc>
          <w:tcPr>
            <w:tcW w:type="dxa" w:w="3360"/>
          </w:tcPr>
          <w:p>
            <w:r>
              <w:t>Existe plantilla en H1</w:t>
            </w:r>
          </w:p>
        </w:tc>
        <w:tc>
          <w:tcPr>
            <w:tcW w:type="dxa" w:w="3360"/>
          </w:tcPr>
          <w:p>
            <w:r>
              <w:t>Mantener si procede.</w:t>
            </w:r>
          </w:p>
        </w:tc>
      </w:tr>
      <w:tr>
        <w:tc>
          <w:tcPr>
            <w:tcW w:type="dxa" w:w="3360"/>
          </w:tcPr>
          <w:p>
            <w:r>
              <w:t>Defensa</w:t>
            </w:r>
          </w:p>
        </w:tc>
        <w:tc>
          <w:tcPr>
            <w:tcW w:type="dxa" w:w="3360"/>
          </w:tcPr>
          <w:p>
            <w:r>
              <w:t>Existe plantilla en H1</w:t>
            </w:r>
          </w:p>
        </w:tc>
        <w:tc>
          <w:tcPr>
            <w:tcW w:type="dxa" w:w="3360"/>
          </w:tcPr>
          <w:p>
            <w:r>
              <w:t>Mantener.</w:t>
            </w:r>
          </w:p>
        </w:tc>
      </w:tr>
      <w:tr>
        <w:tc>
          <w:tcPr>
            <w:tcW w:type="dxa" w:w="3360"/>
          </w:tcPr>
          <w:p>
            <w:r>
              <w:t>Site personal</w:t>
            </w:r>
          </w:p>
        </w:tc>
        <w:tc>
          <w:tcPr>
            <w:tcW w:type="dxa" w:w="3360"/>
          </w:tcPr>
          <w:p>
            <w:r>
              <w:t>Existe estructura textual, no Site materializado</w:t>
            </w:r>
          </w:p>
        </w:tc>
        <w:tc>
          <w:tcPr>
            <w:tcW w:type="dxa" w:w="3360"/>
          </w:tcPr>
          <w:p>
            <w:r>
              <w:t>Se entrega plantilla visual/copy-ready.</w:t>
            </w:r>
          </w:p>
        </w:tc>
      </w:tr>
      <w:tr>
        <w:tc>
          <w:tcPr>
            <w:tcW w:type="dxa" w:w="3360"/>
          </w:tcPr>
          <w:p>
            <w:r>
              <w:t>Site de equipo</w:t>
            </w:r>
          </w:p>
        </w:tc>
        <w:tc>
          <w:tcPr>
            <w:tcW w:type="dxa" w:w="3360"/>
          </w:tcPr>
          <w:p>
            <w:r>
              <w:t>Existe estructura textual, no Site materializado</w:t>
            </w:r>
          </w:p>
        </w:tc>
        <w:tc>
          <w:tcPr>
            <w:tcW w:type="dxa" w:w="3360"/>
          </w:tcPr>
          <w:p>
            <w:r>
              <w:t>Se entrega plantilla visual/copy-ready.</w:t>
            </w:r>
          </w:p>
        </w:tc>
      </w:tr>
    </w:tbl>
    <w:p>
      <w:pPr>
        <w:pStyle w:val="Heading1"/>
      </w:pPr>
      <w:r>
        <w:t>2. Contenidos que H1 debe cubrir</w:t>
      </w:r>
    </w:p>
    <w:p>
      <w:r>
        <w:t>Hechos confirmados tras revisar de nuevo el Tema 1 completo: además de estructura mínima, entrada/salida, variables y constantes, el tema trabaja los tres objetivos de un buen programa (corrección, eficiencia y facilidad de mantenimiento), aspectos léxicos, comentarios, todos los tipos básicos y String, declaración/inicialización/asignación, literales, operaciones aritméticas, división entera/real, resto, incrementos y decrementos, comparaciones, operaciones booleanas, conversiones implícitas y explícitas, conversiones entre String y tipos básicos, if/else —incluido el anidamiento— y asignación condicional.</w:t>
      </w:r>
    </w:p>
    <w:p>
      <w:r>
        <w:t>Incongruencia corregida: la versión anterior concentraba demasiados contenidos de Tema 1 en S212 y trataba if/else como una primera aproximación menor. El PDF aportado confirma que la estructura condicional ocupa un bloque completo del Tema 1 y que antes aparecen comparaciones y lógica booleana. Por tanto, la cobertura se redistribuye entre S210-S213 y deja S212 centrada en Scanner y conversiones.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362AC"/>
          </w:tcPr>
          <w:p>
            <w:r>
              <w:t>Bloque Tema 1 / libro</w:t>
            </w:r>
          </w:p>
        </w:tc>
        <w:tc>
          <w:tcPr>
            <w:tcW w:type="dxa" w:w="5040"/>
            <w:vAlign w:val="center"/>
            <w:shd w:fill="3362AC"/>
          </w:tcPr>
          <w:p>
            <w:r>
              <w:t>Dónde queda cubierto en H1 revisado v2</w:t>
            </w:r>
          </w:p>
        </w:tc>
      </w:tr>
      <w:tr>
        <w:tc>
          <w:tcPr>
            <w:tcW w:type="dxa" w:w="5040"/>
          </w:tcPr>
          <w:p>
            <w:r>
              <w:t>Introducción y objetivos: correcto, eficiente, mantenible</w:t>
            </w:r>
          </w:p>
        </w:tc>
        <w:tc>
          <w:tcPr>
            <w:tcW w:type="dxa" w:w="5040"/>
          </w:tcPr>
          <w:p>
            <w:r>
              <w:t>S206; se retoma como criterio de revisión en S213.</w:t>
            </w:r>
          </w:p>
        </w:tc>
      </w:tr>
      <w:tr>
        <w:tc>
          <w:tcPr>
            <w:tcW w:type="dxa" w:w="5040"/>
          </w:tcPr>
          <w:p>
            <w:r>
              <w:t>Código fuente, compilación, ejecución, JDK/JVM y consola</w:t>
            </w:r>
          </w:p>
        </w:tc>
        <w:tc>
          <w:tcPr>
            <w:tcW w:type="dxa" w:w="5040"/>
          </w:tcPr>
          <w:p>
            <w:r>
              <w:t>S207.</w:t>
            </w:r>
          </w:p>
        </w:tc>
      </w:tr>
      <w:tr>
        <w:tc>
          <w:tcPr>
            <w:tcW w:type="dxa" w:w="5040"/>
          </w:tcPr>
          <w:p>
            <w:r>
              <w:t>Léxico y sintaxis: mayúsculas, identificadores, palabras reservadas, llaves, paréntesis y punto y coma</w:t>
            </w:r>
          </w:p>
        </w:tc>
        <w:tc>
          <w:tcPr>
            <w:tcW w:type="dxa" w:w="5040"/>
          </w:tcPr>
          <w:p>
            <w:r>
              <w:t>S208.</w:t>
            </w:r>
          </w:p>
        </w:tc>
      </w:tr>
      <w:tr>
        <w:tc>
          <w:tcPr>
            <w:tcW w:type="dxa" w:w="5040"/>
          </w:tcPr>
          <w:p>
            <w:r>
              <w:t>Comentarios de línea y bloque</w:t>
            </w:r>
          </w:p>
        </w:tc>
        <w:tc>
          <w:tcPr>
            <w:tcW w:type="dxa" w:w="5040"/>
          </w:tcPr>
          <w:p>
            <w:r>
              <w:t>S208; se revisan en S213.</w:t>
            </w:r>
          </w:p>
        </w:tc>
      </w:tr>
      <w:tr>
        <w:tc>
          <w:tcPr>
            <w:tcW w:type="dxa" w:w="5040"/>
          </w:tcPr>
          <w:p>
            <w:r>
              <w:t>Variables, memoria, declaración, inicialización, asignación y nombres</w:t>
            </w:r>
          </w:p>
        </w:tc>
        <w:tc>
          <w:tcPr>
            <w:tcW w:type="dxa" w:w="5040"/>
          </w:tcPr>
          <w:p>
            <w:r>
              <w:t>S210.</w:t>
            </w:r>
          </w:p>
        </w:tc>
      </w:tr>
      <w:tr>
        <w:tc>
          <w:tcPr>
            <w:tcW w:type="dxa" w:w="5040"/>
          </w:tcPr>
          <w:p>
            <w:r>
              <w:t>Tipos básicos completos y String; tamaño/rango como referencia, no como memorización</w:t>
            </w:r>
          </w:p>
        </w:tc>
        <w:tc>
          <w:tcPr>
            <w:tcW w:type="dxa" w:w="5040"/>
          </w:tcPr>
          <w:p>
            <w:r>
              <w:t>S210.</w:t>
            </w:r>
          </w:p>
        </w:tc>
      </w:tr>
      <w:tr>
        <w:tc>
          <w:tcPr>
            <w:tcW w:type="dxa" w:w="5040"/>
          </w:tcPr>
          <w:p>
            <w:r>
              <w:t>Literales y constantes final</w:t>
            </w:r>
          </w:p>
        </w:tc>
        <w:tc>
          <w:tcPr>
            <w:tcW w:type="dxa" w:w="5040"/>
          </w:tcPr>
          <w:p>
            <w:r>
              <w:t>S211.</w:t>
            </w:r>
          </w:p>
        </w:tc>
      </w:tr>
      <w:tr>
        <w:tc>
          <w:tcPr>
            <w:tcW w:type="dxa" w:w="5040"/>
          </w:tcPr>
          <w:p>
            <w:r>
              <w:t>Operaciones +, -, *, /, %, precedencia, división entera/real</w:t>
            </w:r>
          </w:p>
        </w:tc>
        <w:tc>
          <w:tcPr>
            <w:tcW w:type="dxa" w:w="5040"/>
          </w:tcPr>
          <w:p>
            <w:r>
              <w:t>S211.</w:t>
            </w:r>
          </w:p>
        </w:tc>
      </w:tr>
      <w:tr>
        <w:tc>
          <w:tcPr>
            <w:tcW w:type="dxa" w:w="5040"/>
          </w:tcPr>
          <w:p>
            <w:r>
              <w:t>Asignaciones compuestas e incrementos/decrementos +=, -=, ++, --</w:t>
            </w:r>
          </w:p>
        </w:tc>
        <w:tc>
          <w:tcPr>
            <w:tcW w:type="dxa" w:w="5040"/>
          </w:tcPr>
          <w:p>
            <w:r>
              <w:t>S211.</w:t>
            </w:r>
          </w:p>
        </w:tc>
      </w:tr>
      <w:tr>
        <w:tc>
          <w:tcPr>
            <w:tcW w:type="dxa" w:w="5040"/>
          </w:tcPr>
          <w:p>
            <w:r>
              <w:t>Salida print/println y concatenación</w:t>
            </w:r>
          </w:p>
        </w:tc>
        <w:tc>
          <w:tcPr>
            <w:tcW w:type="dxa" w:w="5040"/>
          </w:tcPr>
          <w:p>
            <w:r>
              <w:t>S209; se reutiliza en S210-S213.</w:t>
            </w:r>
          </w:p>
        </w:tc>
      </w:tr>
      <w:tr>
        <w:tc>
          <w:tcPr>
            <w:tcW w:type="dxa" w:w="5040"/>
          </w:tcPr>
          <w:p>
            <w:r>
              <w:t>Scanner y lectura por teclado</w:t>
            </w:r>
          </w:p>
        </w:tc>
        <w:tc>
          <w:tcPr>
            <w:tcW w:type="dxa" w:w="5040"/>
          </w:tcPr>
          <w:p>
            <w:r>
              <w:t>S212.</w:t>
            </w:r>
          </w:p>
        </w:tc>
      </w:tr>
      <w:tr>
        <w:tc>
          <w:tcPr>
            <w:tcW w:type="dxa" w:w="5040"/>
          </w:tcPr>
          <w:p>
            <w:r>
              <w:t>Conversión String→tipo básico, implícita y casting; riesgo de conversión</w:t>
            </w:r>
          </w:p>
        </w:tc>
        <w:tc>
          <w:tcPr>
            <w:tcW w:type="dxa" w:w="5040"/>
          </w:tcPr>
          <w:p>
            <w:r>
              <w:t>S212.</w:t>
            </w:r>
          </w:p>
        </w:tc>
      </w:tr>
      <w:tr>
        <w:tc>
          <w:tcPr>
            <w:tcW w:type="dxa" w:w="5040"/>
          </w:tcPr>
          <w:p>
            <w:r>
              <w:t>Comparaciones ==, !=, &lt;, &lt;=, &gt;, &gt;= y resultado boolean</w:t>
            </w:r>
          </w:p>
        </w:tc>
        <w:tc>
          <w:tcPr>
            <w:tcW w:type="dxa" w:w="5040"/>
          </w:tcPr>
          <w:p>
            <w:r>
              <w:t>S213.</w:t>
            </w:r>
          </w:p>
        </w:tc>
      </w:tr>
      <w:tr>
        <w:tc>
          <w:tcPr>
            <w:tcW w:type="dxa" w:w="5040"/>
          </w:tcPr>
          <w:p>
            <w:r>
              <w:t>Operadores booleanos &amp;&amp;, ||, !</w:t>
            </w:r>
          </w:p>
        </w:tc>
        <w:tc>
          <w:tcPr>
            <w:tcW w:type="dxa" w:w="5040"/>
          </w:tcPr>
          <w:p>
            <w:r>
              <w:t>S213.</w:t>
            </w:r>
          </w:p>
        </w:tc>
      </w:tr>
      <w:tr>
        <w:tc>
          <w:tcPr>
            <w:tcW w:type="dxa" w:w="5040"/>
          </w:tcPr>
          <w:p>
            <w:r>
              <w:t>if/else, idea de anidamiento y asignación condicional ?:</w:t>
            </w:r>
          </w:p>
        </w:tc>
        <w:tc>
          <w:tcPr>
            <w:tcW w:type="dxa" w:w="5040"/>
          </w:tcPr>
          <w:p>
            <w:r>
              <w:t>S213.</w:t>
            </w:r>
          </w:p>
        </w:tc>
      </w:tr>
      <w:tr>
        <w:tc>
          <w:tcPr>
            <w:tcW w:type="dxa" w:w="5040"/>
          </w:tcPr>
          <w:p>
            <w:r>
              <w:t>README, pruebas, evidencia y defensa de la cobertura del Tema 1</w:t>
            </w:r>
          </w:p>
        </w:tc>
        <w:tc>
          <w:tcPr>
            <w:tcW w:type="dxa" w:w="5040"/>
          </w:tcPr>
          <w:p>
            <w:r>
              <w:t>S214-S215.</w:t>
            </w:r>
          </w:p>
        </w:tc>
      </w:tr>
    </w:tbl>
    <w:p>
      <w:pPr>
        <w:pStyle w:val="Heading1"/>
      </w:pPr>
      <w:r>
        <w:t>3. Macro-secuencia HEXA revisada</w:t>
      </w:r>
    </w:p>
    <w:p>
      <w:r>
        <w:t>Decisión didáctica revisada: se conserva un ciclo HEXA completo para H1, pero la cobertura conceptual del Tema 1 se reparte en micropíldoras situadas. No se exige que todos los conceptos aparezcan en el Main final de MiniJarvis; los contenidos que inflarían artificialmente el producto se demuestran mediante microejercicios, pruebas y defensa. Así H1 sigue siendo pequeño, ejecutable y defendible, pero la evidencia del hito cubre el Tema 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362AC"/>
          </w:tcPr>
          <w:p>
            <w:r>
              <w:t>Fase HEXA</w:t>
            </w:r>
          </w:p>
        </w:tc>
        <w:tc>
          <w:tcPr>
            <w:tcW w:type="dxa" w:w="3360"/>
            <w:vAlign w:val="center"/>
            <w:shd w:fill="3362AC"/>
          </w:tcPr>
          <w:p>
            <w:r>
              <w:t>Sesiones</w:t>
            </w:r>
          </w:p>
        </w:tc>
        <w:tc>
          <w:tcPr>
            <w:tcW w:type="dxa" w:w="3360"/>
            <w:vAlign w:val="center"/>
            <w:shd w:fill="3362AC"/>
          </w:tcPr>
          <w:p>
            <w:r>
              <w:t>Salida de fase</w:t>
            </w:r>
          </w:p>
        </w:tc>
      </w:tr>
      <w:tr>
        <w:tc>
          <w:tcPr>
            <w:tcW w:type="dxa" w:w="3360"/>
          </w:tcPr>
          <w:p>
            <w:r>
              <w:t>Activar</w:t>
            </w:r>
          </w:p>
        </w:tc>
        <w:tc>
          <w:tcPr>
            <w:tcW w:type="dxa" w:w="3360"/>
          </w:tcPr>
          <w:p>
            <w:r>
              <w:t>S206</w:t>
            </w:r>
          </w:p>
        </w:tc>
        <w:tc>
          <w:tcPr>
            <w:tcW w:type="dxa" w:w="3360"/>
          </w:tcPr>
          <w:p>
            <w:r>
              <w:t>Reto, límites y criterios de calidad comprendidos.</w:t>
            </w:r>
          </w:p>
        </w:tc>
      </w:tr>
      <w:tr>
        <w:tc>
          <w:tcPr>
            <w:tcW w:type="dxa" w:w="3360"/>
          </w:tcPr>
          <w:p>
            <w:r>
              <w:t>Investigar</w:t>
            </w:r>
          </w:p>
        </w:tc>
        <w:tc>
          <w:tcPr>
            <w:tcW w:type="dxa" w:w="3360"/>
          </w:tcPr>
          <w:p>
            <w:r>
              <w:t>S207-S208</w:t>
            </w:r>
          </w:p>
        </w:tc>
        <w:tc>
          <w:tcPr>
            <w:tcW w:type="dxa" w:w="3360"/>
          </w:tcPr>
          <w:p>
            <w:r>
              <w:t>Base conceptual de Java, ejecución, léxico y sintaxis contrastada.</w:t>
            </w:r>
          </w:p>
        </w:tc>
      </w:tr>
      <w:tr>
        <w:tc>
          <w:tcPr>
            <w:tcW w:type="dxa" w:w="3360"/>
          </w:tcPr>
          <w:p>
            <w:r>
              <w:t>Idear</w:t>
            </w:r>
          </w:p>
        </w:tc>
        <w:tc>
          <w:tcPr>
            <w:tcW w:type="dxa" w:w="3360"/>
          </w:tcPr>
          <w:p>
            <w:r>
              <w:t>S209</w:t>
            </w:r>
          </w:p>
        </w:tc>
        <w:tc>
          <w:tcPr>
            <w:tcW w:type="dxa" w:w="3360"/>
          </w:tcPr>
          <w:p>
            <w:r>
              <w:t>Guion de interacción elegido con criterios de claridad.</w:t>
            </w:r>
          </w:p>
        </w:tc>
      </w:tr>
      <w:tr>
        <w:tc>
          <w:tcPr>
            <w:tcW w:type="dxa" w:w="3360"/>
          </w:tcPr>
          <w:p>
            <w:r>
              <w:t>Planificar</w:t>
            </w:r>
          </w:p>
        </w:tc>
        <w:tc>
          <w:tcPr>
            <w:tcW w:type="dxa" w:w="3360"/>
          </w:tcPr>
          <w:p>
            <w:r>
              <w:t>S210</w:t>
            </w:r>
          </w:p>
        </w:tc>
        <w:tc>
          <w:tcPr>
            <w:tcW w:type="dxa" w:w="3360"/>
          </w:tcPr>
          <w:p>
            <w:r>
              <w:t>Datos, tipos, nombres y cambios de valor decididos.</w:t>
            </w:r>
          </w:p>
        </w:tc>
      </w:tr>
      <w:tr>
        <w:tc>
          <w:tcPr>
            <w:tcW w:type="dxa" w:w="3360"/>
          </w:tcPr>
          <w:p>
            <w:r>
              <w:t>Ejecutar</w:t>
            </w:r>
          </w:p>
        </w:tc>
        <w:tc>
          <w:tcPr>
            <w:tcW w:type="dxa" w:w="3360"/>
          </w:tcPr>
          <w:p>
            <w:r>
              <w:t>S211-S213</w:t>
            </w:r>
          </w:p>
        </w:tc>
        <w:tc>
          <w:tcPr>
            <w:tcW w:type="dxa" w:w="3360"/>
          </w:tcPr>
          <w:p>
            <w:r>
              <w:t>Operaciones, entrada, conversiones y decisiones construidas en microprácticas; H1 probado y mejorado.</w:t>
            </w:r>
          </w:p>
        </w:tc>
      </w:tr>
      <w:tr>
        <w:tc>
          <w:tcPr>
            <w:tcW w:type="dxa" w:w="3360"/>
          </w:tcPr>
          <w:p>
            <w:r>
              <w:t>Comunicar</w:t>
            </w:r>
          </w:p>
        </w:tc>
        <w:tc>
          <w:tcPr>
            <w:tcW w:type="dxa" w:w="3360"/>
          </w:tcPr>
          <w:p>
            <w:r>
              <w:t>S214-S215</w:t>
            </w:r>
          </w:p>
        </w:tc>
        <w:tc>
          <w:tcPr>
            <w:tcW w:type="dxa" w:w="3360"/>
          </w:tcPr>
          <w:p>
            <w:r>
              <w:t>README, evidencias, Sites, defensa y reflexión.</w:t>
            </w:r>
          </w:p>
        </w:tc>
      </w:tr>
    </w:tbl>
    <w:p>
      <w:r>
        <w:t>Nota sobre la relación H1-H2: el Tema 1 sí incluye if/else, if/else anidado y asignación condicional, por lo que se trabajan en H1. H2 no será el primer contacto con la decisión; reutilizará esa base para construir decisiones más estructuradas dentro de menús y bucles. De este modo se elimina la contradicción entre “Tema 1 completo en H1” y “if/else solo en H2”.</w:t>
      </w:r>
    </w:p>
    <w:p>
      <w:pPr>
        <w:pStyle w:val="Heading1"/>
      </w:pPr>
      <w:r>
        <w:t>4. Qué explicar y cuándo, sesión a sesión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3362AC"/>
          </w:tcPr>
          <w:p>
            <w:r>
              <w:t>Sesión</w:t>
            </w:r>
          </w:p>
        </w:tc>
        <w:tc>
          <w:tcPr>
            <w:tcW w:type="dxa" w:w="1680"/>
            <w:vAlign w:val="center"/>
            <w:shd w:fill="3362AC"/>
          </w:tcPr>
          <w:p>
            <w:r>
              <w:t>HEXA</w:t>
            </w:r>
          </w:p>
        </w:tc>
        <w:tc>
          <w:tcPr>
            <w:tcW w:type="dxa" w:w="1680"/>
            <w:vAlign w:val="center"/>
            <w:shd w:fill="3362AC"/>
          </w:tcPr>
          <w:p>
            <w:r>
              <w:t>Explicación docente</w:t>
            </w:r>
          </w:p>
        </w:tc>
        <w:tc>
          <w:tcPr>
            <w:tcW w:type="dxa" w:w="1680"/>
            <w:vAlign w:val="center"/>
            <w:shd w:fill="3362AC"/>
          </w:tcPr>
          <w:p>
            <w:r>
              <w:t>Qué explicas</w:t>
            </w:r>
          </w:p>
        </w:tc>
        <w:tc>
          <w:tcPr>
            <w:tcW w:type="dxa" w:w="1680"/>
            <w:vAlign w:val="center"/>
            <w:shd w:fill="3362AC"/>
          </w:tcPr>
          <w:p>
            <w:r>
              <w:t>Trabajo principal del alumnado</w:t>
            </w:r>
          </w:p>
        </w:tc>
        <w:tc>
          <w:tcPr>
            <w:tcW w:type="dxa" w:w="1680"/>
            <w:vAlign w:val="center"/>
            <w:shd w:fill="3362AC"/>
          </w:tcPr>
          <w:p>
            <w:r>
              <w:t>Evidencia</w:t>
            </w:r>
          </w:p>
        </w:tc>
      </w:tr>
      <w:tr>
        <w:tc>
          <w:tcPr>
            <w:tcW w:type="dxa" w:w="1680"/>
          </w:tcPr>
          <w:p>
            <w:r>
              <w:t>S206</w:t>
            </w:r>
          </w:p>
        </w:tc>
        <w:tc>
          <w:tcPr>
            <w:tcW w:type="dxa" w:w="1680"/>
          </w:tcPr>
          <w:p>
            <w:r>
              <w:t>Activar</w:t>
            </w:r>
          </w:p>
        </w:tc>
        <w:tc>
          <w:tcPr>
            <w:tcW w:type="dxa" w:w="1680"/>
          </w:tcPr>
          <w:p>
            <w:r>
              <w:t>2 bloques breves; ~14 min total</w:t>
            </w:r>
          </w:p>
        </w:tc>
        <w:tc>
          <w:tcPr>
            <w:tcW w:type="dxa" w:w="1680"/>
          </w:tcPr>
          <w:p>
            <w:r>
              <w:t>Producto mínimo y límites; objetivos del Tema 1: programa correcto, eficiente y mantenible.</w:t>
            </w:r>
          </w:p>
        </w:tc>
        <w:tc>
          <w:tcPr>
            <w:tcW w:type="dxa" w:w="1680"/>
          </w:tcPr>
          <w:p>
            <w:r>
              <w:t>Comparar posibles salidas, formular requisitos/restricciones y criterios de éxito.</w:t>
            </w:r>
          </w:p>
        </w:tc>
        <w:tc>
          <w:tcPr>
            <w:tcW w:type="dxa" w:w="1680"/>
          </w:tcPr>
          <w:p>
            <w:r>
              <w:t>Requisitos + restricciones + criterios de calidad + diario.</w:t>
            </w:r>
          </w:p>
        </w:tc>
      </w:tr>
      <w:tr>
        <w:tc>
          <w:tcPr>
            <w:tcW w:type="dxa" w:w="1680"/>
          </w:tcPr>
          <w:p>
            <w:r>
              <w:t>S207</w:t>
            </w:r>
          </w:p>
        </w:tc>
        <w:tc>
          <w:tcPr>
            <w:tcW w:type="dxa" w:w="1680"/>
          </w:tcPr>
          <w:p>
            <w:r>
              <w:t>Investigar</w:t>
            </w:r>
          </w:p>
        </w:tc>
        <w:tc>
          <w:tcPr>
            <w:tcW w:type="dxa" w:w="1680"/>
          </w:tcPr>
          <w:p>
            <w:r>
              <w:t>2 micropíldoras; ~12 min</w:t>
            </w:r>
          </w:p>
        </w:tc>
        <w:tc>
          <w:tcPr>
            <w:tcW w:type="dxa" w:w="1680"/>
          </w:tcPr>
          <w:p>
            <w:r>
              <w:t>Código fuente, proyecto, JDK/JVM, compilar vs ejecutar, consola y error de compilación.</w:t>
            </w:r>
          </w:p>
        </w:tc>
        <w:tc>
          <w:tcPr>
            <w:tcW w:type="dxa" w:w="1680"/>
          </w:tcPr>
          <w:p>
            <w:r>
              <w:t>Crear/ejecutar; provocar, leer y corregir un error simple.</w:t>
            </w:r>
          </w:p>
        </w:tc>
        <w:tc>
          <w:tcPr>
            <w:tcW w:type="dxa" w:w="1680"/>
          </w:tcPr>
          <w:p>
            <w:r>
              <w:t>Primera ejecución + error corregido.</w:t>
            </w:r>
          </w:p>
        </w:tc>
      </w:tr>
      <w:tr>
        <w:tc>
          <w:tcPr>
            <w:tcW w:type="dxa" w:w="1680"/>
          </w:tcPr>
          <w:p>
            <w:r>
              <w:t>S208</w:t>
            </w:r>
          </w:p>
        </w:tc>
        <w:tc>
          <w:tcPr>
            <w:tcW w:type="dxa" w:w="1680"/>
          </w:tcPr>
          <w:p>
            <w:r>
              <w:t>Investigar</w:t>
            </w:r>
          </w:p>
        </w:tc>
        <w:tc>
          <w:tcPr>
            <w:tcW w:type="dxa" w:w="1680"/>
          </w:tcPr>
          <w:p>
            <w:r>
              <w:t>2 micropíldoras; ~14 min</w:t>
            </w:r>
          </w:p>
        </w:tc>
        <w:tc>
          <w:tcPr>
            <w:tcW w:type="dxa" w:w="1680"/>
          </w:tcPr>
          <w:p>
            <w:r>
              <w:t>Main/main, ejecución secuencial, mayúsculas, signos, identificadores, palabras reservadas, comentarios // y /*...*/.</w:t>
            </w:r>
          </w:p>
        </w:tc>
        <w:tc>
          <w:tcPr>
            <w:tcW w:type="dxa" w:w="1680"/>
          </w:tcPr>
          <w:p>
            <w:r>
              <w:t>Leer, reescribir, romper y reparar código; añadir comentarios útiles.</w:t>
            </w:r>
          </w:p>
        </w:tc>
        <w:tc>
          <w:tcPr>
            <w:tcW w:type="dxa" w:w="1680"/>
          </w:tcPr>
          <w:p>
            <w:r>
              <w:t>Código mínimo + error documentado + microdefensa.</w:t>
            </w:r>
          </w:p>
        </w:tc>
      </w:tr>
      <w:tr>
        <w:tc>
          <w:tcPr>
            <w:tcW w:type="dxa" w:w="1680"/>
          </w:tcPr>
          <w:p>
            <w:r>
              <w:t>S209</w:t>
            </w:r>
          </w:p>
        </w:tc>
        <w:tc>
          <w:tcPr>
            <w:tcW w:type="dxa" w:w="1680"/>
          </w:tcPr>
          <w:p>
            <w:r>
              <w:t>Idear</w:t>
            </w:r>
          </w:p>
        </w:tc>
        <w:tc>
          <w:tcPr>
            <w:tcW w:type="dxa" w:w="1680"/>
          </w:tcPr>
          <w:p>
            <w:r>
              <w:t>1 micropíldora; ~8 min</w:t>
            </w:r>
          </w:p>
        </w:tc>
        <w:tc>
          <w:tcPr>
            <w:tcW w:type="dxa" w:w="1680"/>
          </w:tcPr>
          <w:p>
            <w:r>
              <w:t>Consola como interfaz, print/println, texto literal, concatenación y claridad del mensaje.</w:t>
            </w:r>
          </w:p>
        </w:tc>
        <w:tc>
          <w:tcPr>
            <w:tcW w:type="dxa" w:w="1680"/>
          </w:tcPr>
          <w:p>
            <w:r>
              <w:t>Proponer dos guiones, comparar y elegir; implementar la salida.</w:t>
            </w:r>
          </w:p>
        </w:tc>
        <w:tc>
          <w:tcPr>
            <w:tcW w:type="dxa" w:w="1680"/>
          </w:tcPr>
          <w:p>
            <w:r>
              <w:t>Salida real + decisión argumentada.</w:t>
            </w:r>
          </w:p>
        </w:tc>
      </w:tr>
      <w:tr>
        <w:tc>
          <w:tcPr>
            <w:tcW w:type="dxa" w:w="1680"/>
          </w:tcPr>
          <w:p>
            <w:r>
              <w:t>S210</w:t>
            </w:r>
          </w:p>
        </w:tc>
        <w:tc>
          <w:tcPr>
            <w:tcW w:type="dxa" w:w="1680"/>
          </w:tcPr>
          <w:p>
            <w:r>
              <w:t>Planificar</w:t>
            </w:r>
          </w:p>
        </w:tc>
        <w:tc>
          <w:tcPr>
            <w:tcW w:type="dxa" w:w="1680"/>
          </w:tcPr>
          <w:p>
            <w:r>
              <w:t>3 micropíldoras; ~22 min</w:t>
            </w:r>
          </w:p>
        </w:tc>
        <w:tc>
          <w:tcPr>
            <w:tcW w:type="dxa" w:w="1680"/>
          </w:tcPr>
          <w:p>
            <w:r>
              <w:t>Variable; tipos byte/short/int/long, float/double, char, boolean, String; declaración, inicialización, asignación y nombres.</w:t>
            </w:r>
          </w:p>
        </w:tc>
        <w:tc>
          <w:tcPr>
            <w:tcW w:type="dxa" w:w="1680"/>
          </w:tcPr>
          <w:p>
            <w:r>
              <w:t>Mapa de datos y tipos; implementar y cambiar valores; justificar tipos.</w:t>
            </w:r>
          </w:p>
        </w:tc>
        <w:tc>
          <w:tcPr>
            <w:tcW w:type="dxa" w:w="1680"/>
          </w:tcPr>
          <w:p>
            <w:r>
              <w:t>Variables de tipos adecuados + asignación + explicación.</w:t>
            </w:r>
          </w:p>
        </w:tc>
      </w:tr>
      <w:tr>
        <w:tc>
          <w:tcPr>
            <w:tcW w:type="dxa" w:w="1680"/>
          </w:tcPr>
          <w:p>
            <w:r>
              <w:t>S211</w:t>
            </w:r>
          </w:p>
        </w:tc>
        <w:tc>
          <w:tcPr>
            <w:tcW w:type="dxa" w:w="1680"/>
          </w:tcPr>
          <w:p>
            <w:r>
              <w:t>Ejecutar</w:t>
            </w:r>
          </w:p>
        </w:tc>
        <w:tc>
          <w:tcPr>
            <w:tcW w:type="dxa" w:w="1680"/>
          </w:tcPr>
          <w:p>
            <w:r>
              <w:t>4 micropíldoras; ~29 min intercalados</w:t>
            </w:r>
          </w:p>
        </w:tc>
        <w:tc>
          <w:tcPr>
            <w:tcW w:type="dxa" w:w="1680"/>
          </w:tcPr>
          <w:p>
            <w:r>
              <w:t>final y literales; + - * / %; división entera/real; precedencia; +=, -=, ++, --.</w:t>
            </w:r>
          </w:p>
        </w:tc>
        <w:tc>
          <w:tcPr>
            <w:tcW w:type="dxa" w:w="1680"/>
          </w:tcPr>
          <w:p>
            <w:r>
              <w:t>Predecir, calcular, ejecutar y comparar resultados en microejercicios; integrar constantes en H1.</w:t>
            </w:r>
          </w:p>
        </w:tc>
        <w:tc>
          <w:tcPr>
            <w:tcW w:type="dxa" w:w="1680"/>
          </w:tcPr>
          <w:p>
            <w:r>
              <w:t>Código + predicciones + salida real.</w:t>
            </w:r>
          </w:p>
        </w:tc>
      </w:tr>
      <w:tr>
        <w:tc>
          <w:tcPr>
            <w:tcW w:type="dxa" w:w="1680"/>
          </w:tcPr>
          <w:p>
            <w:r>
              <w:t>S212</w:t>
            </w:r>
          </w:p>
        </w:tc>
        <w:tc>
          <w:tcPr>
            <w:tcW w:type="dxa" w:w="1680"/>
          </w:tcPr>
          <w:p>
            <w:r>
              <w:t>Ejecutar + microinvestigación</w:t>
            </w:r>
          </w:p>
        </w:tc>
        <w:tc>
          <w:tcPr>
            <w:tcW w:type="dxa" w:w="1680"/>
          </w:tcPr>
          <w:p>
            <w:r>
              <w:t>4 micropíldoras; ~28 min intercalados</w:t>
            </w:r>
          </w:p>
        </w:tc>
        <w:tc>
          <w:tcPr>
            <w:tcW w:type="dxa" w:w="1680"/>
          </w:tcPr>
          <w:p>
            <w:r>
              <w:t>Scanner; nextLine/nextInt/nextDouble/nextBoolean; parse de String; conversión implícita; casting; pérdida de información; error de conversión.</w:t>
            </w:r>
          </w:p>
        </w:tc>
        <w:tc>
          <w:tcPr>
            <w:tcW w:type="dxa" w:w="1680"/>
          </w:tcPr>
          <w:p>
            <w:r>
              <w:t>Leer un número como texto, convertirlo, calcular y probar entrada válida/no numérica.</w:t>
            </w:r>
          </w:p>
        </w:tc>
        <w:tc>
          <w:tcPr>
            <w:tcW w:type="dxa" w:w="1680"/>
          </w:tcPr>
          <w:p>
            <w:r>
              <w:t>Microejercicio de entrada/conversión + dos pruebas.</w:t>
            </w:r>
          </w:p>
        </w:tc>
      </w:tr>
      <w:tr>
        <w:tc>
          <w:tcPr>
            <w:tcW w:type="dxa" w:w="1680"/>
          </w:tcPr>
          <w:p>
            <w:r>
              <w:t>S213</w:t>
            </w:r>
          </w:p>
        </w:tc>
        <w:tc>
          <w:tcPr>
            <w:tcW w:type="dxa" w:w="1680"/>
          </w:tcPr>
          <w:p>
            <w:r>
              <w:t>Ejecutar</w:t>
            </w:r>
          </w:p>
        </w:tc>
        <w:tc>
          <w:tcPr>
            <w:tcW w:type="dxa" w:w="1680"/>
          </w:tcPr>
          <w:p>
            <w:r>
              <w:t>4 micropíldoras; ~31 min intercalados</w:t>
            </w:r>
          </w:p>
        </w:tc>
        <w:tc>
          <w:tcPr>
            <w:tcW w:type="dxa" w:w="1680"/>
          </w:tcPr>
          <w:p>
            <w:r>
              <w:t>Comparaciones; boolean; &amp;&amp;, ||, !; if/else; idea de anidamiento; ?:; revisión y mantenibilidad.</w:t>
            </w:r>
          </w:p>
        </w:tc>
        <w:tc>
          <w:tcPr>
            <w:tcW w:type="dxa" w:w="1680"/>
          </w:tcPr>
          <w:p>
            <w:r>
              <w:t>Construir una decisión pequeña, probar casos y revisar código por parejas.</w:t>
            </w:r>
          </w:p>
        </w:tc>
        <w:tc>
          <w:tcPr>
            <w:tcW w:type="dxa" w:w="1680"/>
          </w:tcPr>
          <w:p>
            <w:r>
              <w:t>Microejercicio de decisión + H1 limpio y probado.</w:t>
            </w:r>
          </w:p>
        </w:tc>
      </w:tr>
      <w:tr>
        <w:tc>
          <w:tcPr>
            <w:tcW w:type="dxa" w:w="1680"/>
          </w:tcPr>
          <w:p>
            <w:r>
              <w:t>S214</w:t>
            </w:r>
          </w:p>
        </w:tc>
        <w:tc>
          <w:tcPr>
            <w:tcW w:type="dxa" w:w="1680"/>
          </w:tcPr>
          <w:p>
            <w:r>
              <w:t>Comunicar</w:t>
            </w:r>
          </w:p>
        </w:tc>
        <w:tc>
          <w:tcPr>
            <w:tcW w:type="dxa" w:w="1680"/>
          </w:tcPr>
          <w:p>
            <w:r>
              <w:t>1 micropíldora; ~10 min</w:t>
            </w:r>
          </w:p>
        </w:tc>
        <w:tc>
          <w:tcPr>
            <w:tcW w:type="dxa" w:w="1680"/>
          </w:tcPr>
          <w:p>
            <w:r>
              <w:t>README, prueba manual, evidencia verificable, enlaces profundos, diario y Sites.</w:t>
            </w:r>
          </w:p>
        </w:tc>
        <w:tc>
          <w:tcPr>
            <w:tcW w:type="dxa" w:w="1680"/>
          </w:tcPr>
          <w:p>
            <w:r>
              <w:t>Documentar, seleccionar evidencias y comprobar accesos.</w:t>
            </w:r>
          </w:p>
        </w:tc>
        <w:tc>
          <w:tcPr>
            <w:tcW w:type="dxa" w:w="1680"/>
          </w:tcPr>
          <w:p>
            <w:r>
              <w:t>README + ejecución + diario/Sites.</w:t>
            </w:r>
          </w:p>
        </w:tc>
      </w:tr>
      <w:tr>
        <w:tc>
          <w:tcPr>
            <w:tcW w:type="dxa" w:w="1680"/>
          </w:tcPr>
          <w:p>
            <w:r>
              <w:t>S215</w:t>
            </w:r>
          </w:p>
        </w:tc>
        <w:tc>
          <w:tcPr>
            <w:tcW w:type="dxa" w:w="1680"/>
          </w:tcPr>
          <w:p>
            <w:r>
              <w:t>Comunicar</w:t>
            </w:r>
          </w:p>
        </w:tc>
        <w:tc>
          <w:tcPr>
            <w:tcW w:type="dxa" w:w="1680"/>
          </w:tcPr>
          <w:p>
            <w:r>
              <w:t>1 micropíldora; ~10 min</w:t>
            </w:r>
          </w:p>
        </w:tc>
        <w:tc>
          <w:tcPr>
            <w:tcW w:type="dxa" w:w="1680"/>
          </w:tcPr>
          <w:p>
            <w:r>
              <w:t>Defensa: señalar, explicar, predecir, modificar y probar; mapa de evidencias del Tema 1.</w:t>
            </w:r>
          </w:p>
        </w:tc>
        <w:tc>
          <w:tcPr>
            <w:tcW w:type="dxa" w:w="1680"/>
          </w:tcPr>
          <w:p>
            <w:r>
              <w:t>Ensayo, defensa rotativa y recuperación concreta de lagunas.</w:t>
            </w:r>
          </w:p>
        </w:tc>
        <w:tc>
          <w:tcPr>
            <w:tcW w:type="dxa" w:w="1680"/>
          </w:tcPr>
          <w:p>
            <w:r>
              <w:t>Defensa + portfolio/Site H1 + siguiente mejora.</w:t>
            </w:r>
          </w:p>
        </w:tc>
      </w:tr>
    </w:tbl>
    <w:p>
      <w:pPr>
        <w:pStyle w:val="Heading1"/>
      </w:pPr>
      <w:r>
        <w:t>5. Cómo usar las presentaciones revisadas</w:t>
      </w:r>
    </w:p>
    <w:p>
      <w:r>
        <w:t>Cada presentación se ha reescrito para el alumnado. Se eliminan mensajes de dirección docente visibles como “Enseña una salida esperada” y se sustituyen por el ejemplo real que debe proyectarse. Las instrucciones para ti quedan en las notas del presentador con un tiempo aproximado por diapositiva.</w:t>
      </w:r>
    </w:p>
    <w:p>
      <w:r>
        <w:t>No es necesario proyectar todas las diapositivas de forma lineal. Úsalas como apoyo en tres momentos: arranque/pregunta, micropíldora o demostración, y cierre/evidencia. Durante el trabajo autónomo, la diapositiva de tarea puede quedar fija.</w:t>
      </w:r>
    </w:p>
    <w:p>
      <w:pPr>
        <w:pStyle w:val="Heading1"/>
      </w:pPr>
      <w:r>
        <w:t>6. Plantilla de Google Sites: montaje</w:t>
      </w:r>
    </w:p>
    <w:p>
      <w:r>
        <w:t>Site personal: Inicio → H0 — Cómo trabajo en equipo → H1 — Mi primer MiniJarvis → Portfolio final. La página H1 debe contener: qué hice yo, qué aprendí, problema, prueba, evidencia seleccionada/enlace profundo, qué puedo defender, uso de IA y validación, y siguiente mejora.</w:t>
      </w:r>
    </w:p>
    <w:p>
      <w:r>
        <w:t>Site de equipo: Inicio → Equipo y acuerdos → H0 — Torre, review y retrospectiva → H1 — Primer MiniJarvis → Demo final. La página H1 debe contener: reto e incremento, decisiones, pruebas, evidencias, enlace al Sheet Scrum, repositorio/versión, review, retrospectiva y siguiente mejora.</w:t>
      </w:r>
    </w:p>
    <w:p>
      <w:r>
        <w:t>Configuración de privacidad confirmada por la documentación: mantener borrador y sitio publicado como Restringido; no publicar datos personales, calificaciones, puntuaciones HADA, credenciales, tokens o claves API.</w:t>
      </w:r>
    </w:p>
    <w:p>
      <w:r>
        <w:t>Montaje recomendado en Google Sites con @g.educaand.es: crear sitio en blanco, aplicar un tema sobrio de alto contraste, crear las páginas anteriores, copiar los bloques de las plantillas HTML y compartir/publicar como Restringido. El Site personal pertenece al estudiante; el Site de equipo lo crea el profesorado y añade al equipo como editores, según la documentación del ecosistema.</w:t>
      </w:r>
    </w:p>
    <w:p>
      <w:pPr>
        <w:pStyle w:val="Heading1"/>
      </w:pPr>
      <w:r>
        <w:t>7. Aspectos pendientes o que conviene decidir antes de desplegar</w:t>
      </w:r>
    </w:p>
    <w:p>
      <w:pPr>
        <w:pStyle w:val="ListBullet"/>
      </w:pPr>
      <w:r>
        <w:t>La decisión previa sobre si el ejercicio condicional de S212 iba integrado en Main queda resuelta: Scanner y conversiones se trabajan en S212; comparaciones, lógica booleana e if/else se trasladan a S213. Las microprácticas pueden quedar separadas de Main para preservar un H1 pequeño.</w:t>
      </w:r>
    </w:p>
    <w:p>
      <w:pPr>
        <w:pStyle w:val="ListBullet"/>
      </w:pPr>
      <w:r>
        <w:t>Asegurar que el XLSX del diario se distribuye realmente al alumnado desde Moodle/Drive; ahora el paquete HTML/Moodle no lo incluye como archivo.</w:t>
      </w:r>
    </w:p>
    <w:p>
      <w:pPr>
        <w:pStyle w:val="ListBullet"/>
      </w:pPr>
      <w:r>
        <w:t>Crear los Sites reales dentro del dominio @g.educaand.es. Las plantillas entregadas aquí son de estructura y contenido; la creación del objeto Google Site requiere hacerlo dentro de Google Sites.</w:t>
      </w:r>
    </w:p>
    <w:p>
      <w:pPr>
        <w:pStyle w:val="ListBullet"/>
      </w:pPr>
      <w:r>
        <w:t>Si se regeneran automáticamente las 106 presentaciones, incorporar estas reglas al generador para que H1 no vuelva a sobrescribirse con textos de dirección docente.</w:t>
      </w:r>
    </w:p>
    <w:p>
      <w:pPr>
        <w:pStyle w:val="Heading2"/>
      </w:pPr>
      <w:r>
        <w:t>8. Criterio de cobertura tras la corrección</w:t>
      </w:r>
    </w:p>
    <w:p>
      <w:r>
        <w:t>Cobertura significa que cada concepto del Tema 1 aparece en una explicación, investigación guiada, micropráctica o evidencia defendible. No significa realizar los 51 ejercicios del PDF ni forzar todos los conceptos dentro del producto final MiniJarvis H1.</w:t>
      </w:r>
    </w:p>
    <w:p>
      <w:r>
        <w:t>La secuencia corregida mantiene H1 como programa Java progresivo: el producto principal sigue siendo pequeño; la amplitud del Tema 1 se demuestra mediante microejercicios asociados al mismo hito y queda disponible para la defensa.</w:t>
      </w:r>
    </w:p>
    <w:sectPr w:rsidR="00FC693F" w:rsidRPr="0006063C" w:rsidSect="00034616">
      <w:pgSz w:w="16848" w:h="11952" w:orient="landscape"/>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63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63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362A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