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 w:after="120"/>
      </w:pPr>
      <w:r>
        <w:rPr>
          <w:rFonts w:ascii="Arial" w:hAnsi="Arial" w:eastAsia="Microsoft YaHei"/>
          <w:b/>
          <w:color w:val="2563EB"/>
          <w:sz w:val="18"/>
        </w:rPr>
        <w:t>验证报告  /  2026-09-05</w:t>
      </w:r>
    </w:p>
    <w:p>
      <w:pPr>
        <w:pStyle w:val="Title"/>
      </w:pPr>
      <w:r>
        <w:t>Mini-Drop AI 诊断</w:t>
        <w:br/>
        <w:t>与 Skill 复用测试报告</w:t>
      </w:r>
    </w:p>
    <w:p>
      <w:pPr>
        <w:pStyle w:val="Subtitle"/>
      </w:pPr>
      <w:r>
        <w:t>面向面试演示的功能闭环、数据集、质量门禁与证据边界</w:t>
      </w:r>
    </w:p>
    <w:p>
      <w:pPr>
        <w:pBdr>
          <w:bottom w:val="single" w:sz="12" w:space="1" w:color="2563EB"/>
        </w:pBdr>
      </w:pPr>
    </w:p>
    <w:p>
      <w:pPr>
        <w:spacing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20"/>
            <w:shd w:fill="EAF2FF"/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pStyle w:val="Metric"/>
              <w:jc w:val="center"/>
            </w:pPr>
            <w:r>
              <w:t>540</w:t>
            </w:r>
          </w:p>
          <w:p>
            <w:pPr>
              <w:spacing w:after="20"/>
              <w:jc w:val="center"/>
            </w:pPr>
            <w:r>
              <w:rPr>
                <w:rFonts w:ascii="Arial" w:hAnsi="Arial" w:eastAsia="Microsoft YaHei"/>
                <w:b/>
                <w:color w:val="141D2F"/>
                <w:sz w:val="17"/>
              </w:rPr>
              <w:t>新设计盲测 Case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color w:val="556070"/>
                <w:sz w:val="14"/>
              </w:rPr>
              <w:t>公开 query / 私有 oracle</w:t>
            </w:r>
          </w:p>
        </w:tc>
        <w:tc>
          <w:tcPr>
            <w:tcW w:type="dxa" w:w="2520"/>
            <w:shd w:fill="E9F8F0"/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pStyle w:val="Metric"/>
              <w:jc w:val="center"/>
            </w:pPr>
            <w:r>
              <w:t>93.70%</w:t>
            </w:r>
          </w:p>
          <w:p>
            <w:pPr>
              <w:spacing w:after="20"/>
              <w:jc w:val="center"/>
            </w:pPr>
            <w:r>
              <w:rPr>
                <w:rFonts w:ascii="Arial" w:hAnsi="Arial" w:eastAsia="Microsoft YaHei"/>
                <w:b/>
                <w:color w:val="141D2F"/>
                <w:sz w:val="17"/>
              </w:rPr>
              <w:t>Skill 路由通过率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color w:val="556070"/>
                <w:sz w:val="14"/>
              </w:rPr>
              <w:t>506/540</w:t>
            </w:r>
          </w:p>
        </w:tc>
        <w:tc>
          <w:tcPr>
            <w:tcW w:type="dxa" w:w="2520"/>
            <w:shd w:fill="EAF2FF"/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pStyle w:val="Metric"/>
              <w:jc w:val="center"/>
            </w:pPr>
            <w:r>
              <w:t>307</w:t>
            </w:r>
          </w:p>
          <w:p>
            <w:pPr>
              <w:spacing w:after="20"/>
              <w:jc w:val="center"/>
            </w:pPr>
            <w:r>
              <w:rPr>
                <w:rFonts w:ascii="Arial" w:hAnsi="Arial" w:eastAsia="Microsoft YaHei"/>
                <w:b/>
                <w:color w:val="141D2F"/>
                <w:sz w:val="17"/>
              </w:rPr>
              <w:t>Python 回归通过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color w:val="556070"/>
                <w:sz w:val="14"/>
              </w:rPr>
              <w:t>另有 3 项跳过</w:t>
            </w:r>
          </w:p>
        </w:tc>
        <w:tc>
          <w:tcPr>
            <w:tcW w:type="dxa" w:w="2520"/>
            <w:shd w:fill="E9F8F0"/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pStyle w:val="Metric"/>
              <w:jc w:val="center"/>
            </w:pPr>
            <w:r>
              <w:t>68</w:t>
            </w:r>
          </w:p>
          <w:p>
            <w:pPr>
              <w:spacing w:after="20"/>
              <w:jc w:val="center"/>
            </w:pPr>
            <w:r>
              <w:rPr>
                <w:rFonts w:ascii="Arial" w:hAnsi="Arial" w:eastAsia="Microsoft YaHei"/>
                <w:b/>
                <w:color w:val="141D2F"/>
                <w:sz w:val="17"/>
              </w:rPr>
              <w:t>OpenAPI 路由对齐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color w:val="556070"/>
                <w:sz w:val="14"/>
              </w:rPr>
              <w:t>method/path pairs</w:t>
            </w:r>
          </w:p>
        </w:tc>
      </w:tr>
    </w:tbl>
    <w:p>
      <w:pPr>
        <w:spacing w:after="40"/>
      </w:pPr>
    </w:p>
    <w:p>
      <w:pPr>
        <w:spacing w:after="200"/>
      </w:pPr>
    </w:p>
    <w:p>
      <w:pPr>
        <w:spacing w:after="80"/>
      </w:pPr>
      <w:r>
        <w:rPr>
          <w:rFonts w:ascii="Arial" w:hAnsi="Arial" w:eastAsia="Microsoft YaHei"/>
          <w:b/>
          <w:color w:val="2563EB"/>
          <w:sz w:val="17"/>
        </w:rPr>
        <w:t xml:space="preserve">报告结论  </w:t>
      </w:r>
      <w:r>
        <w:rPr>
          <w:rFonts w:ascii="Arial" w:hAnsi="Arial" w:eastAsia="Microsoft YaHei"/>
          <w:b w:val="0"/>
          <w:color w:val="141D2F"/>
          <w:sz w:val="19"/>
        </w:rPr>
        <w:t>页面演示链已经从“单句触发 + 静态回放”升级为可继续对话、可人工改变调查方向、可实时观察探索树、可启动白名单故障并发起真实 Skill A/B 的诊断工作台。</w:t>
      </w:r>
    </w:p>
    <w:p>
      <w:pPr>
        <w:spacing w:after="80"/>
      </w:pPr>
      <w:r>
        <w:rPr>
          <w:rFonts w:ascii="Arial" w:hAnsi="Arial" w:eastAsia="Microsoft YaHei"/>
          <w:b/>
          <w:color w:val="B45309"/>
          <w:sz w:val="17"/>
        </w:rPr>
        <w:t xml:space="preserve">重要边界  </w:t>
      </w:r>
      <w:r>
        <w:rPr>
          <w:rFonts w:ascii="Arial" w:hAnsi="Arial" w:eastAsia="Microsoft YaHei"/>
          <w:b w:val="0"/>
          <w:color w:val="141D2F"/>
          <w:sz w:val="19"/>
        </w:rPr>
        <w:t>93.70% 是 Skill 路线选择与拒绝的静态盲测结果，不是根因准确率；本机 Docker Linux daemon 未运行，因此本报告不声称完成 Linux live E2E。</w:t>
      </w:r>
    </w:p>
    <w:p>
      <w:pPr>
        <w:spacing w:after="80"/>
      </w:pPr>
      <w:r>
        <w:rPr>
          <w:rFonts w:ascii="Arial" w:hAnsi="Arial" w:eastAsia="Microsoft YaHei"/>
          <w:b/>
          <w:color w:val="047857"/>
          <w:sz w:val="17"/>
        </w:rPr>
        <w:t xml:space="preserve">版本范围  </w:t>
      </w:r>
      <w:r>
        <w:rPr>
          <w:rFonts w:ascii="Arial" w:hAnsi="Arial" w:eastAsia="Microsoft YaHei"/>
          <w:b w:val="0"/>
          <w:color w:val="141D2F"/>
          <w:sz w:val="19"/>
        </w:rPr>
        <w:t>D:\tx\mini-drop 当前未提交工作树；指标由 benchmark-report.json 读取。</w:t>
      </w:r>
    </w:p>
    <w:p>
      <w:pPr>
        <w:spacing w:before="720"/>
      </w:pPr>
      <w:r>
        <w:rPr>
          <w:rFonts w:ascii="Arial" w:hAnsi="Arial" w:eastAsia="Microsoft YaHei"/>
          <w:b w:val="0"/>
          <w:color w:val="556070"/>
          <w:sz w:val="18"/>
        </w:rPr>
        <w:t>Evidence before conclusion.  Route memory before repeated exploration.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t>这轮改造解决的不是三个孤立的页面 Bug，而是三条演示链断点：范围确认缺少幂等语义、采集成功与样本有效性混在一起、以及诊断会话缺少可见的多轮交互。修复后的系统把用户输入视为调查上下文，把 Artifact 经过质量门禁后形成 Evidence，再由报告引用 Evidence 给出可验证结论。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用户看到的问题</w:t>
            </w:r>
          </w:p>
        </w:tc>
        <w:tc>
          <w:tcPr>
            <w:tcW w:type="dxa" w:w="3384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根因</w:t>
            </w:r>
          </w:p>
        </w:tc>
        <w:tc>
          <w:tcPr>
            <w:tcW w:type="dxa" w:w="4608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现在的行为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重复确认范围时报 immutable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浏览器分钟精度与服务端秒/时区表达直接比较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同一 UTC 语义与页面分钟重试幂等；真实移动时间窗仍拒绝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Task DONE 却没有火焰图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perf header-only 也可能以退出码 0 结束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零样本、空折叠栈、空可视化 fail-closed，并返回可行动重采提示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总是证据不足或一直准备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无受控故障、无后续回合、动态树藏在回放弹窗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故障广场 + 多轮干预 + 主页面动态树 + 可继续调查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Skill 复用无法现场对比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旧页面只有离线或硬编码指标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AUTO/DISABLED 创建两条真实 Diagnosis，比较真实 ID、Tool、Evidence、Report</w:t>
            </w:r>
          </w:p>
        </w:tc>
      </w:tr>
    </w:tbl>
    <w:p>
      <w:pPr>
        <w:spacing w:after="20"/>
      </w:pPr>
    </w:p>
    <w:p>
      <w:pPr>
        <w:pStyle w:val="Heading2"/>
      </w:pPr>
      <w:r>
        <w:t>验收判断</w:t>
      </w:r>
    </w:p>
    <w:p>
      <w:pPr>
        <w:pStyle w:val="ListBullet"/>
        <w:spacing w:after="60"/>
      </w:pPr>
      <w:r>
        <w:t>功能合同：后端、OpenAPI、故障白名单、时间窗幂等和干预事件已有自动化覆盖。</w:t>
      </w:r>
    </w:p>
    <w:p>
      <w:pPr>
        <w:pStyle w:val="ListBullet"/>
        <w:spacing w:after="60"/>
      </w:pPr>
      <w:r>
        <w:t>页面闭环：用户可以从故障广场进入诊断、在诊断中继续追问/质疑/换方向，并在同页观察探索树 revision。</w:t>
      </w:r>
    </w:p>
    <w:p>
      <w:pPr>
        <w:pStyle w:val="ListBullet"/>
        <w:spacing w:after="60"/>
      </w:pPr>
      <w:r>
        <w:t>采集可信度：以后不会再把 0 KB JSON 和空 SVG 当成成功火焰图；历史空产物需重新采集。</w:t>
      </w:r>
    </w:p>
    <w:p>
      <w:pPr>
        <w:pStyle w:val="ListBullet"/>
        <w:spacing w:after="60"/>
      </w:pPr>
      <w:r>
        <w:t>实验可信度：540-case 可以证明路由选择器的行为，不能替代真实 Linux 故障的根因评测。</w:t>
      </w:r>
    </w:p>
    <w:p>
      <w:pPr>
        <w:pStyle w:val="Heading1"/>
      </w:pPr>
      <w:r>
        <w:t>2. 页面演示闭环</w:t>
      </w:r>
    </w:p>
    <w:p>
      <w:r>
        <w:t>面试演示时，推荐按下面的因果顺序讲，而不是按菜单逐页点击：</w:t>
      </w:r>
    </w:p>
    <w:p>
      <w:pPr>
        <w:spacing w:before="100" w:after="200"/>
        <w:jc w:val="center"/>
      </w:pPr>
      <w:r>
        <w:rPr>
          <w:rFonts w:ascii="Arial" w:hAnsi="Arial" w:eastAsia="Microsoft YaHei"/>
          <w:b/>
          <w:color w:val="2563EB"/>
          <w:sz w:val="19"/>
        </w:rPr>
        <w:t>故障广场  →  Diagnosis  →  Hypothesis  →  Tool Call  →  Task / Artifact  →  Evidence  →  Report  →  恢复验证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6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页面能力</w:t>
            </w:r>
          </w:p>
        </w:tc>
        <w:tc>
          <w:tcPr>
            <w:tcW w:type="dxa" w:w="3528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现场动作</w:t>
            </w:r>
          </w:p>
        </w:tc>
        <w:tc>
          <w:tcPr>
            <w:tcW w:type="dxa" w:w="4896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面试官能看到的真实性信号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故障广场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选择 CPU、源码热点、内存、I/O、噪声邻居、负载或队列场景，限定时长并启动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浏览器只提交 scenario_id 与 duration；服务端固定白名单，不接收任意命令/PID/URL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AI 诊断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描述症状并让 AI 自动发现安全目标，或人工确认目标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Diagnosis ID、绑定 ID、时间窗、Skill policy 都由服务端持久化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多轮对话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补充上下文、质疑假设、换方向、继续调查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每次提交产生 intervention 事件；用户话语不会直接成为 Evidence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动态探索树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观察假设、探针、任务、证据和报告节点实时增加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revision/version 增长，方向切换与人工节点可追溯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Skill A/B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同问题分别创建 DISABLED 与 AUTO 会话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对比两条真实会话的 Skill activation、Tool、Evidence、Report 和耗时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任务结果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进入采集 Task 查看 Artifact 和可视化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空样本明确失败；有样本才渲染火焰图和 TopN</w:t>
            </w:r>
          </w:p>
        </w:tc>
      </w:tr>
    </w:tbl>
    <w:p>
      <w:pPr>
        <w:spacing w:after="20"/>
      </w:pPr>
    </w:p>
    <w:p>
      <w:pPr>
        <w:pStyle w:val="Heading2"/>
      </w:pPr>
      <w:r>
        <w:t>人工干预的四种语义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240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4680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安全语义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ADD_CONTEXT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补充部署变更、症状、业务背景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只作为 Context，不升格为事实证据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CHALLENGE_HYPOTHESIS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要求 AI 反驳当前主假设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保留旧假设历史，创建新的可证伪方向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CHANGE_DIRECTION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从 CPU 转向 I/O、内存、网络或运行时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新探针仍经过目标绑定、能力、风险和预算门禁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CONTINUE_INVESTIGATION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证据不足或已有结论后继续一轮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旧报告不可变，新事件进入下一轮调查</w:t>
            </w:r>
          </w:p>
        </w:tc>
      </w:tr>
    </w:tbl>
    <w:p>
      <w:pPr>
        <w:spacing w:after="20"/>
      </w:pPr>
    </w:p>
    <w:p>
      <w:pPr>
        <w:pStyle w:val="Heading1"/>
      </w:pPr>
      <w:r>
        <w:t>3. 540-case Skill 路由盲测</w:t>
      </w:r>
    </w:p>
    <w:p>
      <w:r>
        <w:t>数据集使用固定种子 20260905 生成 540 条新 query。公开输入与私有 oracle 分开保存；生成器不读取已退役的旧 Case，但故障分类和正确 Skill 来自当前 catalog。因此它是可复现的项目内盲测，不是外部独立数据集。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60"/>
            <w:shd w:fill="EAF2FF"/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pStyle w:val="Metric"/>
              <w:jc w:val="center"/>
            </w:pPr>
            <w:r>
              <w:t>92.78%</w:t>
            </w:r>
          </w:p>
          <w:p>
            <w:pPr>
              <w:spacing w:after="20"/>
              <w:jc w:val="center"/>
            </w:pPr>
            <w:r>
              <w:rPr>
                <w:rFonts w:ascii="Arial" w:hAnsi="Arial" w:eastAsia="Microsoft YaHei"/>
                <w:b/>
                <w:color w:val="141D2F"/>
                <w:sz w:val="17"/>
              </w:rPr>
              <w:t>正例复用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color w:val="556070"/>
                <w:sz w:val="14"/>
              </w:rPr>
              <w:t>334/360</w:t>
            </w:r>
          </w:p>
        </w:tc>
        <w:tc>
          <w:tcPr>
            <w:tcW w:type="dxa" w:w="3360"/>
            <w:shd w:fill="E9F8F0"/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pStyle w:val="Metric"/>
              <w:jc w:val="center"/>
            </w:pPr>
            <w:r>
              <w:t>95.56%</w:t>
            </w:r>
          </w:p>
          <w:p>
            <w:pPr>
              <w:spacing w:after="20"/>
              <w:jc w:val="center"/>
            </w:pPr>
            <w:r>
              <w:rPr>
                <w:rFonts w:ascii="Arial" w:hAnsi="Arial" w:eastAsia="Microsoft YaHei"/>
                <w:b/>
                <w:color w:val="141D2F"/>
                <w:sz w:val="17"/>
              </w:rPr>
              <w:t>负例拒绝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color w:val="556070"/>
                <w:sz w:val="14"/>
              </w:rPr>
              <w:t>172/180</w:t>
            </w:r>
          </w:p>
        </w:tc>
        <w:tc>
          <w:tcPr>
            <w:tcW w:type="dxa" w:w="3360"/>
            <w:shd w:fill="EAF2FF"/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pStyle w:val="Metric"/>
              <w:jc w:val="center"/>
            </w:pPr>
            <w:r>
              <w:t>4.44%</w:t>
            </w:r>
          </w:p>
          <w:p>
            <w:pPr>
              <w:spacing w:after="20"/>
              <w:jc w:val="center"/>
            </w:pPr>
            <w:r>
              <w:rPr>
                <w:rFonts w:ascii="Arial" w:hAnsi="Arial" w:eastAsia="Microsoft YaHei"/>
                <w:b/>
                <w:color w:val="141D2F"/>
                <w:sz w:val="17"/>
              </w:rPr>
              <w:t>负例误激活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color w:val="556070"/>
                <w:sz w:val="14"/>
              </w:rPr>
              <w:t>8/180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170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170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YaHei"/>
          <w:b w:val="0"/>
          <w:color w:val="556070"/>
          <w:sz w:val="15"/>
        </w:rPr>
        <w:t>图 1  Skill 路由选择与安全拒绝指标（确定性重跑）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664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Case 家族</w:t>
            </w:r>
          </w:p>
        </w:tc>
        <w:tc>
          <w:tcPr>
            <w:tcW w:type="dxa" w:w="864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2016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Skill 通过</w:t>
            </w:r>
          </w:p>
        </w:tc>
        <w:tc>
          <w:tcPr>
            <w:tcW w:type="dxa" w:w="1584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No-Skill 基线</w:t>
            </w:r>
          </w:p>
        </w:tc>
        <w:tc>
          <w:tcPr>
            <w:tcW w:type="dxa" w:w="2952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测试意图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POSITIVE_REUSE</w:t>
            </w:r>
          </w:p>
        </w:tc>
        <w:tc>
          <w:tcPr>
            <w:tcW w:type="dxa" w:w="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360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334/360（92.78%）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0/360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描述足够具体时命中正确 Skill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MISLEADING_OR_UNDERSPECIFIED</w:t>
            </w:r>
          </w:p>
        </w:tc>
        <w:tc>
          <w:tcPr>
            <w:tcW w:type="dxa" w:w="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90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82/90（91.11%）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90/90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歧义或信息不足时应弃权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CAPABILITY_OR_ENVIRONMENT_DRIFT</w:t>
            </w:r>
          </w:p>
        </w:tc>
        <w:tc>
          <w:tcPr>
            <w:tcW w:type="dxa" w:w="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90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90/90（100%）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90/90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环境/能力不匹配时拒绝复用</w:t>
            </w:r>
          </w:p>
        </w:tc>
      </w:tr>
    </w:tbl>
    <w:p>
      <w:pPr>
        <w:spacing w:after="20"/>
      </w:pPr>
    </w:p>
    <w:p>
      <w:pPr>
        <w:pStyle w:val="Heading2"/>
      </w:pPr>
      <w:r>
        <w:t>指标解释</w:t>
      </w:r>
    </w:p>
    <w:p>
      <w:pPr>
        <w:pStyle w:val="ListBullet"/>
        <w:spacing w:after="60"/>
      </w:pPr>
      <w:r>
        <w:t>总体 506/540（93.70%）：正例选择指定 Skill，负例正确弃权。</w:t>
      </w:r>
    </w:p>
    <w:p>
      <w:pPr>
        <w:pStyle w:val="ListBullet"/>
        <w:spacing w:after="60"/>
      </w:pPr>
      <w:r>
        <w:t>No-Skill 基线 180/540（33.33%）：它不是另一套 RCA Agent，只是永远不复用路线的保守下界。</w:t>
      </w:r>
    </w:p>
    <w:p>
      <w:pPr>
        <w:pStyle w:val="ListBullet"/>
        <w:spacing w:after="60"/>
      </w:pPr>
      <w:r>
        <w:t>8 个误激活全部来自误导/信息不足负例；它们是下一轮阈值和歧义门禁优化的直接样本。</w:t>
      </w:r>
    </w:p>
    <w:p>
      <w:pPr>
        <w:pStyle w:val="ListBullet"/>
        <w:spacing w:after="60"/>
      </w:pPr>
      <w:r>
        <w:t>Skill 命中代表可复用的调查先验，不代表根因已被证明。</w:t>
      </w:r>
    </w:p>
    <w:p>
      <w:pPr>
        <w:pStyle w:val="Heading1"/>
      </w:pPr>
      <w:r>
        <w:t>4. 火焰图为空：修复与质量门禁</w:t>
      </w:r>
    </w:p>
    <w:p>
      <w:r>
        <w:t>原问题的关键不在前端渲染。perf script 和折叠脚本可能对 header-only 或 0 样本输入返回退出码 0；旧 Analyzer 随后生成空 root、空 TopN 和极小 SVG，任务仍被标为 DONE。新链路同时检查进程退出状态和内容质量。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检查点</w:t>
            </w:r>
          </w:p>
        </w:tc>
        <w:tc>
          <w:tcPr>
            <w:tcW w:type="dxa" w:w="4536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拒绝条件</w:t>
            </w:r>
          </w:p>
        </w:tc>
        <w:tc>
          <w:tcPr>
            <w:tcW w:type="dxa" w:w="3600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页面结果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perf script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没有任何可解析 sample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NO_PERF_SAMPLES；提示确认 PID、权限、采样时长和目标是否在运行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stack collapse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没有正权重 folded stack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NO_FOLDED_STACKS；不生成伪火焰图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Analyzer 输出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sample_count=0、profile_quality=UNUSABLE、可视化 0 bytes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分析失败并保留结构化原因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Artifact 合同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新产物明确声明 0 样本或不可用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阻止进入 Evidence；旧产物缺字段仅标记质量未知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rial" w:hAnsi="Arial" w:eastAsia="Microsoft YaHei"/>
          <w:b/>
          <w:color w:val="B45309"/>
          <w:sz w:val="17"/>
        </w:rPr>
        <w:t xml:space="preserve">必须重采  </w:t>
      </w:r>
      <w:r>
        <w:rPr>
          <w:rFonts w:ascii="Arial" w:hAnsi="Arial" w:eastAsia="Microsoft YaHei"/>
          <w:b w:val="0"/>
          <w:color w:val="141D2F"/>
          <w:sz w:val="19"/>
        </w:rPr>
        <w:t>截图中的历史空 flamegraph.json / flamegraph.svg 不会被“修复成有内容”。修复保证新任务诚实失败；要看到火焰图，必须对一个确实消耗 CPU 的目标在当前 Analyzer 下重新采集。</w:t>
      </w:r>
    </w:p>
    <w:p>
      <w:pPr>
        <w:pStyle w:val="Heading1"/>
      </w:pPr>
      <w:r>
        <w:t>5. 自动化验证结果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验证层</w:t>
            </w:r>
          </w:p>
        </w:tc>
        <w:tc>
          <w:tcPr>
            <w:tcW w:type="dxa" w:w="1800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4536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覆盖内容</w:t>
            </w:r>
          </w:p>
        </w:tc>
        <w:tc>
          <w:tcPr>
            <w:tcW w:type="dxa" w:w="1800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Python 全量回归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307 passed / 3 skipped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诊断、策略、分析器、合同、故障广场、时间窗、干预树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前端交互回归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60/60 passed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多轮续诊、动态树、故障广场、真实 Skill A/B、空 Profile 提示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生产 bundle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build:check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Vite 构建与入口预算；ECharts 612 kB 为非阻断提示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OpenAPI 对齐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68 method/path pairs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Python RPC 实现与公开契约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静态 Skill 盲测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506/540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生产混合检索与拒绝门禁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93.70%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受控故障本地烟测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list/start/stop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白名单 demo 状态、启动、停止与诊断请求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Linux live E2E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本机未执行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真实 Agent、perf 权限、Artifact、Evidence、Report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待云端 Campaign</w:t>
            </w:r>
          </w:p>
        </w:tc>
      </w:tr>
    </w:tbl>
    <w:p>
      <w:pPr>
        <w:spacing w:after="20"/>
      </w:pPr>
    </w:p>
    <w:p>
      <w:pPr>
        <w:pStyle w:val="Heading2"/>
      </w:pPr>
      <w:r>
        <w:t>三层测试模型</w:t>
      </w:r>
    </w:p>
    <w:p>
      <w:pPr>
        <w:spacing w:after="60"/>
        <w:ind w:left="408" w:hanging="295"/>
      </w:pPr>
      <w:r>
        <w:rPr>
          <w:rFonts w:ascii="Arial" w:hAnsi="Arial" w:eastAsia="Microsoft YaHei"/>
          <w:b/>
          <w:color w:val="141D2F"/>
          <w:sz w:val="19"/>
        </w:rPr>
        <w:t xml:space="preserve">1.  </w:t>
      </w:r>
      <w:r>
        <w:t>静态盲测：快速验证“该不该复用哪条路线”，适合放入 CI。</w:t>
      </w:r>
    </w:p>
    <w:p>
      <w:pPr>
        <w:spacing w:after="60"/>
        <w:ind w:left="408" w:hanging="295"/>
      </w:pPr>
      <w:r>
        <w:rPr>
          <w:rFonts w:ascii="Arial" w:hAnsi="Arial" w:eastAsia="Microsoft YaHei"/>
          <w:b/>
          <w:color w:val="141D2F"/>
          <w:sz w:val="19"/>
        </w:rPr>
        <w:t xml:space="preserve">2.  </w:t>
      </w:r>
      <w:r>
        <w:t>受控故障合同/集成：验证白名单、状态机、幂等、人工干预、质量错误和事件投影。</w:t>
      </w:r>
    </w:p>
    <w:p>
      <w:pPr>
        <w:spacing w:after="60"/>
        <w:ind w:left="408" w:hanging="295"/>
      </w:pPr>
      <w:r>
        <w:rPr>
          <w:rFonts w:ascii="Arial" w:hAnsi="Arial" w:eastAsia="Microsoft YaHei"/>
          <w:b/>
          <w:color w:val="141D2F"/>
          <w:sz w:val="19"/>
        </w:rPr>
        <w:t xml:space="preserve">3.  </w:t>
      </w:r>
      <w:r>
        <w:t>Linux live E2E：在真实 Worker 和标注故障下，对比根因服务/指标、首条有效 Evidence 耗时、Tool Call 数、空 Profile 率和恢复验证。</w:t>
      </w:r>
    </w:p>
    <w:p>
      <w:r>
        <w:t>本报告完成前两层。第三层需要 Linux Worker、稳定负载、故障重置和根因真值；Windows 上 Docker Desktop Linux Engine 未运行，不能用静态截图冒充当次 live 证据。</w:t>
      </w:r>
    </w:p>
    <w:p>
      <w:pPr>
        <w:pStyle w:val="Heading1"/>
      </w:pPr>
      <w:r>
        <w:t>6. 面试演示脚本（8～10 分钟）</w:t>
      </w:r>
    </w:p>
    <w:p>
      <w:pPr>
        <w:spacing w:after="60"/>
        <w:ind w:left="408" w:hanging="295"/>
      </w:pPr>
      <w:r>
        <w:rPr>
          <w:rFonts w:ascii="Arial" w:hAnsi="Arial" w:eastAsia="Microsoft YaHei"/>
          <w:b/>
          <w:color w:val="141D2F"/>
          <w:sz w:val="19"/>
        </w:rPr>
        <w:t xml:space="preserve">1.  </w:t>
      </w:r>
      <w:r>
        <w:t>打开 AI 诊断中的故障广场，选择“CPU 计算热点”，设置 120 秒并启动。说明浏览器不能下发任意命令。</w:t>
      </w:r>
    </w:p>
    <w:p>
      <w:pPr>
        <w:spacing w:after="60"/>
        <w:ind w:left="408" w:hanging="295"/>
      </w:pPr>
      <w:r>
        <w:rPr>
          <w:rFonts w:ascii="Arial" w:hAnsi="Arial" w:eastAsia="Microsoft YaHei"/>
          <w:b/>
          <w:color w:val="141D2F"/>
          <w:sz w:val="19"/>
        </w:rPr>
        <w:t xml:space="preserve">2.  </w:t>
      </w:r>
      <w:r>
        <w:t>点击“启动并诊断”，让 AI 自主选择服务端签发的安全目标和时间窗；展示 Diagnosis ID 与绑定 ID。</w:t>
      </w:r>
    </w:p>
    <w:p>
      <w:pPr>
        <w:spacing w:after="60"/>
        <w:ind w:left="408" w:hanging="295"/>
      </w:pPr>
      <w:r>
        <w:rPr>
          <w:rFonts w:ascii="Arial" w:hAnsi="Arial" w:eastAsia="Microsoft YaHei"/>
          <w:b/>
          <w:color w:val="141D2F"/>
          <w:sz w:val="19"/>
        </w:rPr>
        <w:t xml:space="preserve">3.  </w:t>
      </w:r>
      <w:r>
        <w:t>用 DISABLED 创建对照臂，记录第一个 Tool Call。恢复并重放同一故障，再用 AUTO 创建 Skill 臂。</w:t>
      </w:r>
    </w:p>
    <w:p>
      <w:pPr>
        <w:spacing w:after="60"/>
        <w:ind w:left="408" w:hanging="295"/>
      </w:pPr>
      <w:r>
        <w:rPr>
          <w:rFonts w:ascii="Arial" w:hAnsi="Arial" w:eastAsia="Microsoft YaHei"/>
          <w:b/>
          <w:color w:val="141D2F"/>
          <w:sz w:val="19"/>
        </w:rPr>
        <w:t xml:space="preserve">4.  </w:t>
      </w:r>
      <w:r>
        <w:t>在运行中的会话输入“CPU 样本没有主导热点，请质疑当前假设并转查 I/O 等待”。展示 intervention 节点和树 revision 增长。</w:t>
      </w:r>
    </w:p>
    <w:p>
      <w:pPr>
        <w:spacing w:after="60"/>
        <w:ind w:left="408" w:hanging="295"/>
      </w:pPr>
      <w:r>
        <w:rPr>
          <w:rFonts w:ascii="Arial" w:hAnsi="Arial" w:eastAsia="Microsoft YaHei"/>
          <w:b/>
          <w:color w:val="141D2F"/>
          <w:sz w:val="19"/>
        </w:rPr>
        <w:t xml:space="preserve">5.  </w:t>
      </w:r>
      <w:r>
        <w:t>沿 Tool Call 打开 Task，查看 Attempt、Artifact、Analyzer 和 Evidence。如果样本为空，现场展示结构化质量错误与重采路径。</w:t>
      </w:r>
    </w:p>
    <w:p>
      <w:pPr>
        <w:spacing w:after="60"/>
        <w:ind w:left="408" w:hanging="295"/>
      </w:pPr>
      <w:r>
        <w:rPr>
          <w:rFonts w:ascii="Arial" w:hAnsi="Arial" w:eastAsia="Microsoft YaHei"/>
          <w:b/>
          <w:color w:val="141D2F"/>
          <w:sz w:val="19"/>
        </w:rPr>
        <w:t xml:space="preserve">6.  </w:t>
      </w:r>
      <w:r>
        <w:t>打开 Skill A/B 面板，对比两条真实会话的 Skill activation、工具数、首条 Evidence、状态、报告版本和耗时。</w:t>
      </w:r>
    </w:p>
    <w:p>
      <w:pPr>
        <w:spacing w:after="60"/>
        <w:ind w:left="408" w:hanging="295"/>
      </w:pPr>
      <w:r>
        <w:rPr>
          <w:rFonts w:ascii="Arial" w:hAnsi="Arial" w:eastAsia="Microsoft YaHei"/>
          <w:b/>
          <w:color w:val="141D2F"/>
          <w:sz w:val="19"/>
        </w:rPr>
        <w:t xml:space="preserve">7.  </w:t>
      </w:r>
      <w:r>
        <w:t>停止故障并验证服务恢复。最后打开 540-case 报告，明确它只测路线复用，不等于刚才的 live 根因链。</w:t>
      </w:r>
    </w:p>
    <w:p>
      <w:pPr>
        <w:pStyle w:val="Heading2"/>
      </w:pPr>
      <w:r>
        <w:t>演示时建议主动说出的边界</w:t>
      </w:r>
    </w:p>
    <w:p>
      <w:pPr>
        <w:pStyle w:val="ListBullet"/>
        <w:spacing w:after="60"/>
      </w:pPr>
      <w:r>
        <w:t>人工输入是 Context，只有 Collector/Analyzer 产物通过质量门禁后才能成为 Evidence。</w:t>
      </w:r>
    </w:p>
    <w:p>
      <w:pPr>
        <w:pStyle w:val="ListBullet"/>
        <w:spacing w:after="60"/>
      </w:pPr>
      <w:r>
        <w:t>Skill 是经过验证的调查路线记忆，不是把历史结论直接复制到新事故。</w:t>
      </w:r>
    </w:p>
    <w:p>
      <w:pPr>
        <w:pStyle w:val="ListBullet"/>
        <w:spacing w:after="60"/>
      </w:pPr>
      <w:r>
        <w:t>A/B 的两个臂必须重置同一故障和负载；否则顺序运行会被时间漂移污染。</w:t>
      </w:r>
    </w:p>
    <w:p>
      <w:pPr>
        <w:pStyle w:val="ListBullet"/>
        <w:spacing w:after="60"/>
      </w:pPr>
      <w:r>
        <w:t>INSUFFICIENT_EVIDENCE 是安全结论，不是系统卡死；用户可以继续调查，但模型不能用猜测补齐证据。</w:t>
      </w:r>
    </w:p>
    <w:p>
      <w:pPr>
        <w:pStyle w:val="Heading1"/>
      </w:pPr>
      <w:r>
        <w:t>7. 已知限制与下一步验收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76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限制</w:t>
            </w:r>
          </w:p>
        </w:tc>
        <w:tc>
          <w:tcPr>
            <w:tcW w:type="dxa" w:w="3240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464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下一步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本机没有 Linux live E2E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无法声明根因服务/指标准确率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在云端 Worker 运行固定种子的受控故障 Campaign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故障广场主要是单机/单进程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对跨服务因果链覆盖有限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接入 OpenTelemetry Demo 级微服务场景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live A/B 脚本不负责重置故障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顺序臂可能受状态漂移影响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由 Campaign orchestrator 在每臂前重置并校验负载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旧 Profile 缺少质量元数据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兼容读取时只能标记质量未知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用新 Analyzer 重算或重新采集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误导负例仍有 8 次误激活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Skill 可能在信息不足时过早介入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基于失败 Case 调整阈值并保留独立回归集</w:t>
            </w:r>
          </w:p>
        </w:tc>
      </w:tr>
    </w:tbl>
    <w:p>
      <w:pPr>
        <w:spacing w:after="20"/>
      </w:pPr>
    </w:p>
    <w:p>
      <w:pPr>
        <w:pStyle w:val="Heading1"/>
      </w:pPr>
      <w:r>
        <w:t>8. 复现命令与证据文件</w:t>
      </w:r>
    </w:p>
    <w:p>
      <w:pPr>
        <w:ind w:left="227" w:right="227"/>
        <w:shd w:fill="F3F4F6"/>
      </w:pPr>
      <w:r>
        <w:rPr>
          <w:rFonts w:ascii="Consolas" w:hAnsi="Consolas" w:eastAsia="Microsoft YaHei"/>
          <w:sz w:val="16"/>
        </w:rPr>
        <w:t>python -m pytest -q</w:t>
        <w:br/>
      </w:r>
      <w:r>
        <w:rPr>
          <w:rFonts w:ascii="Consolas" w:hAnsi="Consolas" w:eastAsia="Microsoft YaHei"/>
          <w:sz w:val="16"/>
        </w:rPr>
        <w:t>python scripts/check_openapi_routes.py</w:t>
        <w:br/>
      </w:r>
      <w:r>
        <w:rPr>
          <w:rFonts w:ascii="Consolas" w:hAnsi="Consolas" w:eastAsia="Microsoft YaHei"/>
          <w:sz w:val="16"/>
        </w:rPr>
        <w:t>python scripts/generate_diagnosis_benchmark_v2.py</w:t>
        <w:br/>
      </w:r>
      <w:r>
        <w:rPr>
          <w:rFonts w:ascii="Consolas" w:hAnsi="Consolas" w:eastAsia="Microsoft YaHei"/>
          <w:sz w:val="16"/>
        </w:rPr>
        <w:t>python scripts/run_diagnosis_benchmark_v2.py</w:t>
        <w:br/>
      </w:r>
      <w:r>
        <w:rPr>
          <w:rFonts w:ascii="Consolas" w:hAnsi="Consolas" w:eastAsia="Microsoft YaHei"/>
          <w:sz w:val="16"/>
        </w:rPr>
        <w:t>docker compose --profile demo-target up -d --build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7704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位置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公开盲测输入</w:t>
            </w:r>
          </w:p>
        </w:tc>
        <w:tc>
          <w:tcPr>
            <w:tcW w:type="dxa" w:w="77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benchmarks/diagnosis-v2/public/cases.json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私有 oracle</w:t>
            </w:r>
          </w:p>
        </w:tc>
        <w:tc>
          <w:tcPr>
            <w:tcW w:type="dxa" w:w="77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benchmarks/diagnosis-v2/private/oracles.json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机器可读结果</w:t>
            </w:r>
          </w:p>
        </w:tc>
        <w:tc>
          <w:tcPr>
            <w:tcW w:type="dxa" w:w="77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web/public/report-assets/skill-evolution/benchmark-report.json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人类可读报告</w:t>
            </w:r>
          </w:p>
        </w:tc>
        <w:tc>
          <w:tcPr>
            <w:tcW w:type="dxa" w:w="77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reports/ai-diagnosis/AI诊断与Skill复用测试报告-20260905.md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核心设计文档</w:t>
            </w:r>
          </w:p>
        </w:tc>
        <w:tc>
          <w:tcPr>
            <w:tcW w:type="dxa" w:w="77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docs/AI_DIAGNOSIS.md、docs/SKILLS.md、docs/PROJECT_LEARNING_GUIDE.md</w:t>
            </w:r>
          </w:p>
        </w:tc>
      </w:tr>
    </w:tbl>
    <w:p>
      <w:pPr>
        <w:spacing w:after="20"/>
      </w:pPr>
    </w:p>
    <w:p>
      <w:pPr>
        <w:pStyle w:val="Heading2"/>
      </w:pPr>
      <w:r>
        <w:t>参考依据</w:t>
      </w:r>
    </w:p>
    <w:p>
      <w:pPr>
        <w:pStyle w:val="ListBullet"/>
        <w:spacing w:after="60"/>
      </w:pPr>
      <w:r>
        <w:t>Microsoft AIOpsLab — application/task/fault/workload/evaluator 分层与 action trace 评估：https://github.com/microsoft/AIOpsLab</w:t>
      </w:r>
    </w:p>
    <w:p>
      <w:pPr>
        <w:pStyle w:val="ListBullet"/>
        <w:spacing w:after="60"/>
      </w:pPr>
      <w:r>
        <w:t>AIOpsLab paper：https://www.microsoft.com/en-us/research/wp-content/uploads/2024/10/arxiv_AIOpsLab.pdf</w:t>
      </w:r>
    </w:p>
    <w:p>
      <w:pPr>
        <w:pStyle w:val="ListBullet"/>
        <w:spacing w:after="60"/>
      </w:pPr>
      <w:r>
        <w:t>RCAEval — 以标注故障分别评估 root-cause service 与 indicator：https://github.com/phamquiluan/RCAEval</w:t>
      </w:r>
    </w:p>
    <w:p>
      <w:pPr>
        <w:pStyle w:val="ListBullet"/>
        <w:spacing w:after="60"/>
      </w:pPr>
      <w:r>
        <w:t>RCAEval paper：https://arxiv.org/abs/2412.17015</w:t>
      </w:r>
    </w:p>
    <w:p>
      <w:pPr>
        <w:pStyle w:val="ListBullet"/>
        <w:spacing w:after="60"/>
      </w:pPr>
      <w:r>
        <w:t>OpenTelemetry Demo feature flags — 可重放问题场景：https://opentelemetry.io/docs/demo/feature-flags/</w:t>
      </w:r>
    </w:p>
    <w:p>
      <w:pPr>
        <w:pStyle w:val="ListBullet"/>
        <w:spacing w:after="60"/>
      </w:pPr>
      <w:r>
        <w:t>Chaos Mesh — 有 selector、duration 和恢复语义的受控故障：https://chaos-mesh.org/docs/run-a-chaos-experiment/</w:t>
      </w:r>
    </w:p>
    <w:p/>
    <w:p>
      <w:pPr>
        <w:spacing w:before="280"/>
        <w:jc w:val="center"/>
        <w:pBdr>
          <w:bottom w:val="single" w:sz="12" w:space="1" w:color="D7DEE8"/>
        </w:pBdr>
      </w:pPr>
      <w:r>
        <w:rPr>
          <w:rFonts w:ascii="Arial" w:hAnsi="Arial" w:eastAsia="Microsoft YaHei"/>
          <w:b/>
          <w:color w:val="141D2F"/>
          <w:sz w:val="18"/>
        </w:rPr>
        <w:t>结论必须能沿 Report → Evidence → Artifact → Attempt → Task 反向追溯。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color w:val="556070"/>
        <w:sz w:val="16"/>
      </w:rPr>
      <w:t xml:space="preserve">Mini-Drop AI 诊断验证报告  ·  </w:t>
    </w:r>
    <w:r>
      <w:rPr>
        <w:rFonts w:ascii="Arial" w:hAnsi="Arial" w:eastAsia="Microsoft YaHei"/>
        <w:b w:val="0"/>
        <w:color w:val="556070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/>
        <w:color w:val="556070"/>
        <w:sz w:val="15"/>
      </w:rPr>
      <w:t>MINI-DROP  /  EVIDENCE-FIRST DIAGNOSIS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icrosoft YaHei"/>
      <w:color w:val="141D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41D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41D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41D2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41D2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5560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ric">
    <w:name w:val="Metric"/>
    <w:basedOn w:val="Normal"/>
    <w:pPr>
      <w:spacing w:after="20"/>
    </w:pPr>
    <w:rPr>
      <w:rFonts w:ascii="Arial" w:hAnsi="Arial" w:eastAsia="Microsoft YaHei"/>
      <w:b/>
      <w:color w:val="2563EB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Mini-Drop AI 诊断与 Skill 复用测试报告</dc:title>
  <dc:subject>Evidence-first diagnosis, controlled fault showcase, Skill A/B and benchmark</dc:subject>
  <dc:creator>Mini-Drop project</dc:creator>
  <cp:keywords>Mini-Drop, AI diagnosis, Skill reuse, A/B, perf, evidence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