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52D8C" w14:textId="10EF9D4A" w:rsidR="00661660" w:rsidRPr="00A66A62" w:rsidRDefault="00FC0310">
      <w:pPr>
        <w:spacing w:after="40"/>
        <w:jc w:val="center"/>
        <w:rPr>
          <w:rFonts w:asciiTheme="minorHAnsi" w:hAnsiTheme="minorHAnsi" w:cstheme="minorHAnsi"/>
          <w:sz w:val="32"/>
          <w:szCs w:val="32"/>
        </w:rPr>
      </w:pPr>
      <w:r w:rsidRPr="00A66A62">
        <w:rPr>
          <w:rFonts w:asciiTheme="minorHAnsi" w:hAnsiTheme="minorHAnsi" w:cstheme="minorHAnsi"/>
          <w:b/>
          <w:bCs/>
          <w:sz w:val="32"/>
          <w:szCs w:val="32"/>
        </w:rPr>
        <w:t>Gestión de contenidos digitales: de la revisión de fuentes al abordaje didáctico</w:t>
      </w:r>
    </w:p>
    <w:p w14:paraId="0BE135CB" w14:textId="5FE532E3" w:rsidR="00661660" w:rsidRPr="00A66A62" w:rsidRDefault="00FC0310">
      <w:pPr>
        <w:spacing w:after="240"/>
        <w:jc w:val="center"/>
        <w:rPr>
          <w:rFonts w:asciiTheme="minorHAnsi" w:hAnsiTheme="minorHAnsi" w:cstheme="minorHAnsi"/>
          <w:sz w:val="32"/>
          <w:szCs w:val="32"/>
        </w:rPr>
      </w:pPr>
      <w:r w:rsidRPr="00A66A62">
        <w:rPr>
          <w:rFonts w:asciiTheme="minorHAnsi" w:hAnsiTheme="minorHAnsi" w:cstheme="minorHAnsi"/>
          <w:i/>
          <w:iCs/>
          <w:color w:val="555555"/>
          <w:sz w:val="32"/>
          <w:szCs w:val="32"/>
        </w:rPr>
        <w:t>Informe académico — Programa de Segunda Especialidad</w:t>
      </w:r>
    </w:p>
    <w:p w14:paraId="589151C0" w14:textId="1084304C" w:rsidR="00A66A62" w:rsidRDefault="00A66A62">
      <w:pPr>
        <w:spacing w:after="16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F40F50C" wp14:editId="38E1B4E2">
            <wp:simplePos x="0" y="0"/>
            <wp:positionH relativeFrom="margin">
              <wp:posOffset>542925</wp:posOffset>
            </wp:positionH>
            <wp:positionV relativeFrom="paragraph">
              <wp:posOffset>676910</wp:posOffset>
            </wp:positionV>
            <wp:extent cx="5107940" cy="7396480"/>
            <wp:effectExtent l="0" t="0" r="0" b="0"/>
            <wp:wrapTopAndBottom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b="4292"/>
                    <a:stretch/>
                  </pic:blipFill>
                  <pic:spPr bwMode="auto">
                    <a:xfrm>
                      <a:off x="0" y="0"/>
                      <a:ext cx="5107940" cy="739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844B5C" w14:textId="62905522" w:rsidR="00A66A62" w:rsidRPr="00A66A62" w:rsidRDefault="00A66A62">
      <w:pPr>
        <w:pStyle w:val="Ttulo1"/>
        <w:spacing w:before="200" w:after="120"/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9759273" wp14:editId="70DF877A">
            <wp:simplePos x="0" y="0"/>
            <wp:positionH relativeFrom="column">
              <wp:posOffset>-149619</wp:posOffset>
            </wp:positionH>
            <wp:positionV relativeFrom="paragraph">
              <wp:posOffset>164684</wp:posOffset>
            </wp:positionV>
            <wp:extent cx="5829300" cy="8458200"/>
            <wp:effectExtent l="0" t="0" r="0" b="0"/>
            <wp:wrapTopAndBottom/>
            <wp:docPr id="3" name="Gráfico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rcRect b="3057"/>
                    <a:stretch/>
                  </pic:blipFill>
                  <pic:spPr bwMode="auto">
                    <a:xfrm>
                      <a:off x="0" y="0"/>
                      <a:ext cx="5829300" cy="845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FEFCC5E" w14:textId="0E33C5EE" w:rsidR="00661660" w:rsidRPr="00A66A62" w:rsidRDefault="00FC0310">
      <w:pPr>
        <w:pStyle w:val="Ttulo1"/>
        <w:spacing w:before="200" w:after="120"/>
        <w:rPr>
          <w:rFonts w:asciiTheme="minorHAnsi" w:hAnsiTheme="minorHAnsi" w:cstheme="minorHAnsi"/>
          <w:sz w:val="24"/>
          <w:szCs w:val="24"/>
        </w:rPr>
      </w:pPr>
      <w:r w:rsidRPr="00A66A62">
        <w:rPr>
          <w:rFonts w:asciiTheme="minorHAnsi" w:hAnsiTheme="minorHAnsi" w:cstheme="minorHAnsi"/>
          <w:b/>
          <w:bCs/>
          <w:color w:val="1F3864"/>
          <w:sz w:val="24"/>
          <w:szCs w:val="24"/>
        </w:rPr>
        <w:lastRenderedPageBreak/>
        <w:t>Conclusión</w:t>
      </w:r>
    </w:p>
    <w:p w14:paraId="6D8007CA" w14:textId="77777777" w:rsidR="00661660" w:rsidRPr="00A66A62" w:rsidRDefault="00FC0310">
      <w:pPr>
        <w:spacing w:after="160" w:line="276" w:lineRule="auto"/>
        <w:jc w:val="both"/>
        <w:rPr>
          <w:rFonts w:asciiTheme="minorHAnsi" w:hAnsiTheme="minorHAnsi" w:cstheme="minorHAnsi"/>
          <w:sz w:val="24"/>
          <w:szCs w:val="24"/>
        </w:rPr>
      </w:pPr>
      <w:r w:rsidRPr="00A66A62">
        <w:rPr>
          <w:rFonts w:asciiTheme="minorHAnsi" w:hAnsiTheme="minorHAnsi" w:cstheme="minorHAnsi"/>
          <w:sz w:val="24"/>
          <w:szCs w:val="24"/>
        </w:rPr>
        <w:t>La gestión de contenidos digitales y su abordaje didáctico son procesos complementarios: uno garantiza que la informa</w:t>
      </w:r>
      <w:r w:rsidRPr="00A66A62">
        <w:rPr>
          <w:rFonts w:asciiTheme="minorHAnsi" w:hAnsiTheme="minorHAnsi" w:cstheme="minorHAnsi"/>
          <w:sz w:val="24"/>
          <w:szCs w:val="24"/>
        </w:rPr>
        <w:t>ción con la que se trabaja sea confiable y esté bien organizada; el otro garantiza que esa información se traduzca en aprendizaje significativo. Integrar ambos procesos —apoyados en aplicativos digitales, el análisis de casos y los recursos educativos abie</w:t>
      </w:r>
      <w:r w:rsidRPr="00A66A62">
        <w:rPr>
          <w:rFonts w:asciiTheme="minorHAnsi" w:hAnsiTheme="minorHAnsi" w:cstheme="minorHAnsi"/>
          <w:sz w:val="24"/>
          <w:szCs w:val="24"/>
        </w:rPr>
        <w:t>rtos— fortalece tanto la calidad de la investigación académica como la pertinencia de su enseñanza.</w:t>
      </w:r>
    </w:p>
    <w:p w14:paraId="63B7C1D3" w14:textId="77777777" w:rsidR="00661660" w:rsidRPr="00A66A62" w:rsidRDefault="00FC0310">
      <w:pPr>
        <w:pStyle w:val="Ttulo1"/>
        <w:spacing w:before="200" w:after="120"/>
        <w:rPr>
          <w:rFonts w:asciiTheme="minorHAnsi" w:hAnsiTheme="minorHAnsi" w:cstheme="minorHAnsi"/>
          <w:sz w:val="24"/>
          <w:szCs w:val="24"/>
        </w:rPr>
      </w:pPr>
      <w:r w:rsidRPr="00A66A62">
        <w:rPr>
          <w:rFonts w:asciiTheme="minorHAnsi" w:hAnsiTheme="minorHAnsi" w:cstheme="minorHAnsi"/>
          <w:b/>
          <w:bCs/>
          <w:color w:val="1F3864"/>
          <w:sz w:val="24"/>
          <w:szCs w:val="24"/>
        </w:rPr>
        <w:t>Referencias</w:t>
      </w:r>
    </w:p>
    <w:p w14:paraId="1B9395CB" w14:textId="77777777" w:rsidR="00661660" w:rsidRPr="00A66A62" w:rsidRDefault="00FC0310">
      <w:pPr>
        <w:spacing w:after="120" w:line="276" w:lineRule="auto"/>
        <w:ind w:left="720" w:hanging="720"/>
        <w:rPr>
          <w:rFonts w:asciiTheme="minorHAnsi" w:hAnsiTheme="minorHAnsi" w:cstheme="minorHAnsi"/>
          <w:sz w:val="24"/>
          <w:szCs w:val="24"/>
        </w:rPr>
      </w:pPr>
      <w:proofErr w:type="spellStart"/>
      <w:r w:rsidRPr="00A66A62">
        <w:rPr>
          <w:rFonts w:asciiTheme="minorHAnsi" w:hAnsiTheme="minorHAnsi" w:cstheme="minorHAnsi"/>
          <w:sz w:val="24"/>
          <w:szCs w:val="24"/>
        </w:rPr>
        <w:t>Cruzata</w:t>
      </w:r>
      <w:proofErr w:type="spellEnd"/>
      <w:r w:rsidRPr="00A66A62">
        <w:rPr>
          <w:rFonts w:asciiTheme="minorHAnsi" w:hAnsiTheme="minorHAnsi" w:cstheme="minorHAnsi"/>
          <w:sz w:val="24"/>
          <w:szCs w:val="24"/>
        </w:rPr>
        <w:t xml:space="preserve"> Martínez, A., Córdova </w:t>
      </w:r>
      <w:proofErr w:type="spellStart"/>
      <w:r w:rsidRPr="00A66A62">
        <w:rPr>
          <w:rFonts w:asciiTheme="minorHAnsi" w:hAnsiTheme="minorHAnsi" w:cstheme="minorHAnsi"/>
          <w:sz w:val="24"/>
          <w:szCs w:val="24"/>
        </w:rPr>
        <w:t>Mollo</w:t>
      </w:r>
      <w:proofErr w:type="spellEnd"/>
      <w:r w:rsidRPr="00A66A62">
        <w:rPr>
          <w:rFonts w:asciiTheme="minorHAnsi" w:hAnsiTheme="minorHAnsi" w:cstheme="minorHAnsi"/>
          <w:sz w:val="24"/>
          <w:szCs w:val="24"/>
        </w:rPr>
        <w:t>, J. C., &amp; Herrán Sifuentes, M. A. (2021). Estrategia didáctica para desarrollar la competencia de gestión de</w:t>
      </w:r>
      <w:r w:rsidRPr="00A66A62">
        <w:rPr>
          <w:rFonts w:asciiTheme="minorHAnsi" w:hAnsiTheme="minorHAnsi" w:cstheme="minorHAnsi"/>
          <w:sz w:val="24"/>
          <w:szCs w:val="24"/>
        </w:rPr>
        <w:t xml:space="preserve"> procesos en el área de educación para el trabajo. Didascalia: Didáctica y Educación, 12(2), 133–145. https://revistas.ult.edu.cu/index.php/didascalia/article/view/1133</w:t>
      </w:r>
    </w:p>
    <w:p w14:paraId="07E653EF" w14:textId="77777777" w:rsidR="00661660" w:rsidRPr="00A66A62" w:rsidRDefault="00FC0310">
      <w:pPr>
        <w:spacing w:after="120" w:line="276" w:lineRule="auto"/>
        <w:ind w:left="720" w:hanging="720"/>
        <w:rPr>
          <w:rFonts w:asciiTheme="minorHAnsi" w:hAnsiTheme="minorHAnsi" w:cstheme="minorHAnsi"/>
          <w:sz w:val="24"/>
          <w:szCs w:val="24"/>
        </w:rPr>
      </w:pPr>
      <w:r w:rsidRPr="00A66A62">
        <w:rPr>
          <w:rFonts w:asciiTheme="minorHAnsi" w:hAnsiTheme="minorHAnsi" w:cstheme="minorHAnsi"/>
          <w:sz w:val="24"/>
          <w:szCs w:val="24"/>
        </w:rPr>
        <w:t>Farfán, G. (2023, 31 de octubre). La relevancia de la investigación científica en la ac</w:t>
      </w:r>
      <w:r w:rsidRPr="00A66A62">
        <w:rPr>
          <w:rFonts w:asciiTheme="minorHAnsi" w:hAnsiTheme="minorHAnsi" w:cstheme="minorHAnsi"/>
          <w:sz w:val="24"/>
          <w:szCs w:val="24"/>
        </w:rPr>
        <w:t>tualidad. UCV Blog. https://www.ucv.edu.pe/blog/la-relevancia-de-la-investigacion-cientifica-en-la-actualidad/</w:t>
      </w:r>
    </w:p>
    <w:p w14:paraId="2A2E9A5E" w14:textId="77777777" w:rsidR="00661660" w:rsidRPr="00A66A62" w:rsidRDefault="00FC0310">
      <w:pPr>
        <w:spacing w:after="120" w:line="276" w:lineRule="auto"/>
        <w:ind w:left="720" w:hanging="720"/>
        <w:rPr>
          <w:rFonts w:asciiTheme="minorHAnsi" w:hAnsiTheme="minorHAnsi" w:cstheme="minorHAnsi"/>
          <w:sz w:val="24"/>
          <w:szCs w:val="24"/>
        </w:rPr>
      </w:pPr>
      <w:r w:rsidRPr="00A66A62">
        <w:rPr>
          <w:rFonts w:asciiTheme="minorHAnsi" w:hAnsiTheme="minorHAnsi" w:cstheme="minorHAnsi"/>
          <w:sz w:val="24"/>
          <w:szCs w:val="24"/>
        </w:rPr>
        <w:t xml:space="preserve">Flores Pacheco, A. L., Galicia Segura, G., &amp; Sánchez </w:t>
      </w:r>
      <w:proofErr w:type="spellStart"/>
      <w:r w:rsidRPr="00A66A62">
        <w:rPr>
          <w:rFonts w:asciiTheme="minorHAnsi" w:hAnsiTheme="minorHAnsi" w:cstheme="minorHAnsi"/>
          <w:sz w:val="24"/>
          <w:szCs w:val="24"/>
        </w:rPr>
        <w:t>Vanderkast</w:t>
      </w:r>
      <w:proofErr w:type="spellEnd"/>
      <w:r w:rsidRPr="00A66A62">
        <w:rPr>
          <w:rFonts w:asciiTheme="minorHAnsi" w:hAnsiTheme="minorHAnsi" w:cstheme="minorHAnsi"/>
          <w:sz w:val="24"/>
          <w:szCs w:val="24"/>
        </w:rPr>
        <w:t xml:space="preserve">, E. (2007). Una aproximación a la Sociedad de la Información y del Conocimiento. </w:t>
      </w:r>
      <w:r w:rsidRPr="00A66A62">
        <w:rPr>
          <w:rFonts w:asciiTheme="minorHAnsi" w:hAnsiTheme="minorHAnsi" w:cstheme="minorHAnsi"/>
          <w:sz w:val="24"/>
          <w:szCs w:val="24"/>
        </w:rPr>
        <w:t>Revista Mexicana de Orientación Educativa, 5(11), 19–28.</w:t>
      </w:r>
    </w:p>
    <w:p w14:paraId="58E4D7DF" w14:textId="77777777" w:rsidR="00661660" w:rsidRPr="00A66A62" w:rsidRDefault="00FC0310">
      <w:pPr>
        <w:spacing w:after="120" w:line="276" w:lineRule="auto"/>
        <w:ind w:left="720" w:hanging="720"/>
        <w:rPr>
          <w:rFonts w:asciiTheme="minorHAnsi" w:hAnsiTheme="minorHAnsi" w:cstheme="minorHAnsi"/>
          <w:sz w:val="24"/>
          <w:szCs w:val="24"/>
        </w:rPr>
      </w:pPr>
      <w:r w:rsidRPr="00A66A62">
        <w:rPr>
          <w:rFonts w:asciiTheme="minorHAnsi" w:hAnsiTheme="minorHAnsi" w:cstheme="minorHAnsi"/>
          <w:sz w:val="24"/>
          <w:szCs w:val="24"/>
        </w:rPr>
        <w:t>Forero de Moreno, I. (2009). La sociedad del conocimiento. Revista Científica General José María Córdova, 5(7), 40–44. https://www.redalyc.org/pdf/4762/476248849007.pdf</w:t>
      </w:r>
    </w:p>
    <w:p w14:paraId="5E3A6A0A" w14:textId="77777777" w:rsidR="00661660" w:rsidRPr="00A66A62" w:rsidRDefault="00FC0310">
      <w:pPr>
        <w:spacing w:after="120" w:line="276" w:lineRule="auto"/>
        <w:ind w:left="720" w:hanging="720"/>
        <w:rPr>
          <w:rFonts w:asciiTheme="minorHAnsi" w:hAnsiTheme="minorHAnsi" w:cstheme="minorHAnsi"/>
          <w:sz w:val="24"/>
          <w:szCs w:val="24"/>
        </w:rPr>
      </w:pPr>
      <w:r w:rsidRPr="00A66A62">
        <w:rPr>
          <w:rFonts w:asciiTheme="minorHAnsi" w:hAnsiTheme="minorHAnsi" w:cstheme="minorHAnsi"/>
          <w:sz w:val="24"/>
          <w:szCs w:val="24"/>
        </w:rPr>
        <w:t>Instituto Tecnológico y de Est</w:t>
      </w:r>
      <w:r w:rsidRPr="00A66A62">
        <w:rPr>
          <w:rFonts w:asciiTheme="minorHAnsi" w:hAnsiTheme="minorHAnsi" w:cstheme="minorHAnsi"/>
          <w:sz w:val="24"/>
          <w:szCs w:val="24"/>
        </w:rPr>
        <w:t>udios Superiores de Monterrey. (s.f.). El estudio de casos como técnica didáctica. Dirección de Investigación y Desarrollo Educativo. https://sitios.itesm.mx/va/dide2/tecnicas_didacticas/casos/casos.pdf</w:t>
      </w:r>
    </w:p>
    <w:p w14:paraId="0202EE48" w14:textId="77777777" w:rsidR="00661660" w:rsidRPr="00A66A62" w:rsidRDefault="00FC0310">
      <w:pPr>
        <w:spacing w:after="120" w:line="276" w:lineRule="auto"/>
        <w:ind w:left="720" w:hanging="720"/>
        <w:rPr>
          <w:rFonts w:asciiTheme="minorHAnsi" w:hAnsiTheme="minorHAnsi" w:cstheme="minorHAnsi"/>
          <w:sz w:val="24"/>
          <w:szCs w:val="24"/>
        </w:rPr>
      </w:pPr>
      <w:r w:rsidRPr="00A66A62">
        <w:rPr>
          <w:rFonts w:asciiTheme="minorHAnsi" w:hAnsiTheme="minorHAnsi" w:cstheme="minorHAnsi"/>
          <w:sz w:val="24"/>
          <w:szCs w:val="24"/>
        </w:rPr>
        <w:t>UNESCO. (2019). Recomendación sobre los Recursos Educ</w:t>
      </w:r>
      <w:r w:rsidRPr="00A66A62">
        <w:rPr>
          <w:rFonts w:asciiTheme="minorHAnsi" w:hAnsiTheme="minorHAnsi" w:cstheme="minorHAnsi"/>
          <w:sz w:val="24"/>
          <w:szCs w:val="24"/>
        </w:rPr>
        <w:t>ativos Abiertos (REA). https://www.unesco.org/es/legal-affairs/recommendation-open-educational-resources-oer</w:t>
      </w:r>
    </w:p>
    <w:p w14:paraId="457C022B" w14:textId="77777777" w:rsidR="00661660" w:rsidRPr="00A66A62" w:rsidRDefault="00FC0310">
      <w:pPr>
        <w:spacing w:after="120" w:line="276" w:lineRule="auto"/>
        <w:ind w:left="720" w:hanging="720"/>
        <w:rPr>
          <w:rFonts w:asciiTheme="minorHAnsi" w:hAnsiTheme="minorHAnsi" w:cstheme="minorHAnsi"/>
          <w:sz w:val="24"/>
          <w:szCs w:val="24"/>
        </w:rPr>
      </w:pPr>
      <w:r w:rsidRPr="00A66A62">
        <w:rPr>
          <w:rFonts w:asciiTheme="minorHAnsi" w:hAnsiTheme="minorHAnsi" w:cstheme="minorHAnsi"/>
          <w:sz w:val="24"/>
          <w:szCs w:val="24"/>
        </w:rPr>
        <w:t>Zurita, G., Hernández, M., Hernández, M., Silvia, M., &amp; Valenzuela, M. (2023). Gamificación en el aula: estrategia didáctica para el aprendizaje. C</w:t>
      </w:r>
      <w:r w:rsidRPr="00A66A62">
        <w:rPr>
          <w:rFonts w:asciiTheme="minorHAnsi" w:hAnsiTheme="minorHAnsi" w:cstheme="minorHAnsi"/>
          <w:sz w:val="24"/>
          <w:szCs w:val="24"/>
        </w:rPr>
        <w:t>iencia Latina Revista Científica Multidisciplinar, 7(2), 8618–8630. https://doi.org/10.37811/cl_rcm.v7i2.5979</w:t>
      </w:r>
    </w:p>
    <w:sectPr w:rsidR="00661660" w:rsidRPr="00A66A62">
      <w:footerReference w:type="default" r:id="rId11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AEE6AA" w14:textId="77777777" w:rsidR="00FC0310" w:rsidRDefault="00FC0310">
      <w:r>
        <w:separator/>
      </w:r>
    </w:p>
  </w:endnote>
  <w:endnote w:type="continuationSeparator" w:id="0">
    <w:p w14:paraId="76C1B968" w14:textId="77777777" w:rsidR="00FC0310" w:rsidRDefault="00FC0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39F44" w14:textId="77777777" w:rsidR="00661660" w:rsidRDefault="00FC0310">
    <w:pPr>
      <w:jc w:val="center"/>
    </w:pPr>
    <w:r>
      <w:rPr>
        <w:color w:val="808080"/>
      </w:rPr>
      <w:fldChar w:fldCharType="begin"/>
    </w:r>
    <w:r>
      <w:rPr>
        <w:color w:val="808080"/>
      </w:rPr>
      <w:instrText>PAGE</w:instrText>
    </w:r>
    <w:r>
      <w:rPr>
        <w:color w:val="808080"/>
      </w:rPr>
      <w:fldChar w:fldCharType="separate"/>
    </w:r>
    <w:r w:rsidR="00A66A62">
      <w:rPr>
        <w:noProof/>
        <w:color w:val="808080"/>
      </w:rPr>
      <w:t>1</w:t>
    </w:r>
    <w:r>
      <w:rPr>
        <w:color w:val="80808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E2604" w14:textId="77777777" w:rsidR="00FC0310" w:rsidRDefault="00FC0310">
      <w:r>
        <w:separator/>
      </w:r>
    </w:p>
  </w:footnote>
  <w:footnote w:type="continuationSeparator" w:id="0">
    <w:p w14:paraId="2853773A" w14:textId="77777777" w:rsidR="00FC0310" w:rsidRDefault="00FC03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9C1713"/>
    <w:multiLevelType w:val="hybridMultilevel"/>
    <w:tmpl w:val="D4F2EC34"/>
    <w:lvl w:ilvl="0" w:tplc="430475F2">
      <w:start w:val="1"/>
      <w:numFmt w:val="bullet"/>
      <w:lvlText w:val="●"/>
      <w:lvlJc w:val="left"/>
      <w:pPr>
        <w:ind w:left="720" w:hanging="360"/>
      </w:pPr>
    </w:lvl>
    <w:lvl w:ilvl="1" w:tplc="64B043E4">
      <w:start w:val="1"/>
      <w:numFmt w:val="bullet"/>
      <w:lvlText w:val="○"/>
      <w:lvlJc w:val="left"/>
      <w:pPr>
        <w:ind w:left="1440" w:hanging="360"/>
      </w:pPr>
    </w:lvl>
    <w:lvl w:ilvl="2" w:tplc="FD44CCEA">
      <w:start w:val="1"/>
      <w:numFmt w:val="bullet"/>
      <w:lvlText w:val="■"/>
      <w:lvlJc w:val="left"/>
      <w:pPr>
        <w:ind w:left="2160" w:hanging="360"/>
      </w:pPr>
    </w:lvl>
    <w:lvl w:ilvl="3" w:tplc="D37E0B48">
      <w:start w:val="1"/>
      <w:numFmt w:val="bullet"/>
      <w:lvlText w:val="●"/>
      <w:lvlJc w:val="left"/>
      <w:pPr>
        <w:ind w:left="2880" w:hanging="360"/>
      </w:pPr>
    </w:lvl>
    <w:lvl w:ilvl="4" w:tplc="483EEABC">
      <w:start w:val="1"/>
      <w:numFmt w:val="bullet"/>
      <w:lvlText w:val="○"/>
      <w:lvlJc w:val="left"/>
      <w:pPr>
        <w:ind w:left="3600" w:hanging="360"/>
      </w:pPr>
    </w:lvl>
    <w:lvl w:ilvl="5" w:tplc="BAE2FFF2">
      <w:start w:val="1"/>
      <w:numFmt w:val="bullet"/>
      <w:lvlText w:val="■"/>
      <w:lvlJc w:val="left"/>
      <w:pPr>
        <w:ind w:left="4320" w:hanging="360"/>
      </w:pPr>
    </w:lvl>
    <w:lvl w:ilvl="6" w:tplc="A91AF008">
      <w:start w:val="1"/>
      <w:numFmt w:val="bullet"/>
      <w:lvlText w:val="●"/>
      <w:lvlJc w:val="left"/>
      <w:pPr>
        <w:ind w:left="5040" w:hanging="360"/>
      </w:pPr>
    </w:lvl>
    <w:lvl w:ilvl="7" w:tplc="05107E7A">
      <w:start w:val="1"/>
      <w:numFmt w:val="bullet"/>
      <w:lvlText w:val="●"/>
      <w:lvlJc w:val="left"/>
      <w:pPr>
        <w:ind w:left="5760" w:hanging="360"/>
      </w:pPr>
    </w:lvl>
    <w:lvl w:ilvl="8" w:tplc="729C504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1660"/>
    <w:rsid w:val="00661660"/>
    <w:rsid w:val="00A66A62"/>
    <w:rsid w:val="00FC0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8F0396"/>
  <w15:docId w15:val="{A1DEF50A-F473-4149-BE85-A2550B546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66A6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66A62"/>
  </w:style>
  <w:style w:type="paragraph" w:styleId="Piedepgina">
    <w:name w:val="footer"/>
    <w:basedOn w:val="Normal"/>
    <w:link w:val="PiedepginaCar"/>
    <w:uiPriority w:val="99"/>
    <w:unhideWhenUsed/>
    <w:rsid w:val="00A66A6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66A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333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Pc 2025</cp:lastModifiedBy>
  <cp:revision>2</cp:revision>
  <dcterms:created xsi:type="dcterms:W3CDTF">2026-09-11T05:22:00Z</dcterms:created>
  <dcterms:modified xsi:type="dcterms:W3CDTF">2026-09-11T05:22:00Z</dcterms:modified>
</cp:coreProperties>
</file>