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By our word count, you are at approximately 11,000 words, so without having counted tables and figures (see above) you are in good shape. Do make sure that the final version remains under the required word count, taking into account tables and figures with the appropriate exchange rate. </w:t>
      </w:r>
      <w:r>
        <w:rPr>
          <w:rFonts w:eastAsia="Times New Roman" w:cs="Times New Roman" w:ascii="Times New Roman" w:hAnsi="Times New Roman"/>
          <w:sz w:val="32"/>
          <w:szCs w:val="32"/>
        </w:rPr>
        <w:br/>
        <w:br/>
      </w:r>
      <w:r>
        <w:rPr>
          <w:rFonts w:ascii="Times New Roman" w:hAnsi="Times New Roman"/>
          <w:outline w:val="false"/>
          <w:color w:val="FF2600"/>
          <w:sz w:val="32"/>
          <w:szCs w:val="32"/>
          <w:lang w:val="en-US"/>
          <w14:textFill>
            <w14:solidFill>
              <w14:srgbClr w14:val="FF2600"/>
            </w14:solidFill>
          </w14:textFill>
        </w:rPr>
        <w:t>Our final word count (including figures/tables) is about 16000, slightly more than the recommendation of 15500.  This includes discussion of various topics the editors asked us to add; at this point we’ve been over the revised version of the paper many times and are having trouble finding appropriate further cuts.</w:t>
      </w:r>
      <w:r>
        <w:rPr>
          <w:rFonts w:eastAsia="Times New Roman" w:cs="Times New Roman" w:ascii="Times New Roman" w:hAnsi="Times New Roman"/>
          <w:sz w:val="32"/>
          <w:szCs w:val="32"/>
        </w:rPr>
        <w:br/>
      </w:r>
    </w:p>
    <w:p>
      <w:pPr>
        <w:pStyle w:val="Default"/>
        <w:numPr>
          <w:ilvl w:val="0"/>
          <w:numId w:val="1"/>
        </w:numPr>
        <w:bidi w:val="0"/>
        <w:spacing w:before="0" w:after="320"/>
        <w:ind w:left="720" w:right="0" w:hanging="500"/>
        <w:jc w:val="left"/>
        <w:rPr>
          <w:rFonts w:ascii="Times New Roman" w:hAnsi="Times New Roman"/>
          <w:sz w:val="32"/>
          <w:szCs w:val="32"/>
          <w:lang w:val="en-US"/>
        </w:rPr>
      </w:pPr>
      <w:r>
        <w:rPr>
          <w:rFonts w:ascii="Times New Roman" w:hAnsi="Times New Roman"/>
          <w:sz w:val="32"/>
          <w:szCs w:val="32"/>
          <w:lang w:val="en-US"/>
        </w:rPr>
        <w:t xml:space="preserve">The conference participants made some excellent suggestions about what is missing currently from the chapter (we leave it up to you how to include these ideas, but include them in some form you should): </w:t>
      </w:r>
    </w:p>
    <w:p>
      <w:pPr>
        <w:pStyle w:val="Default"/>
        <w:numPr>
          <w:ilvl w:val="1"/>
          <w:numId w:val="2"/>
        </w:numPr>
        <w:bidi w:val="0"/>
        <w:spacing w:before="0" w:after="0"/>
        <w:ind w:left="1440" w:right="0" w:hanging="500"/>
        <w:jc w:val="left"/>
        <w:rPr>
          <w:rFonts w:ascii="Times New Roman" w:hAnsi="Times New Roman"/>
          <w:sz w:val="32"/>
          <w:szCs w:val="32"/>
          <w:lang w:val="en-US"/>
        </w:rPr>
      </w:pPr>
      <w:r>
        <w:rPr>
          <w:rFonts w:ascii="Times New Roman" w:hAnsi="Times New Roman"/>
          <w:sz w:val="32"/>
          <w:szCs w:val="32"/>
          <w:lang w:val="en-US"/>
        </w:rPr>
        <w:t xml:space="preserve">Think about having a discussion of the role of the media in the transmission of beliefs and expectations (Rudi). </w:t>
      </w:r>
      <w:r>
        <w:rPr>
          <w:rFonts w:eastAsia="Times New Roman" w:cs="Times New Roman" w:ascii="Times New Roman" w:hAnsi="Times New Roman"/>
          <w:sz w:val="32"/>
          <w:szCs w:val="32"/>
        </w:rPr>
        <w:br/>
        <w:br/>
      </w:r>
      <w:r>
        <w:rPr>
          <w:rFonts w:ascii="Times New Roman" w:hAnsi="Times New Roman"/>
          <w:outline w:val="false"/>
          <w:color w:val="FF2600"/>
          <w:sz w:val="32"/>
          <w:szCs w:val="32"/>
          <w:lang w:val="en-US"/>
          <w14:textFill>
            <w14:solidFill>
              <w14:srgbClr w14:val="FF2600"/>
            </w14:solidFill>
          </w14:textFill>
        </w:rPr>
        <w:t xml:space="preserve">In our newly added section </w:t>
      </w:r>
      <w:r>
        <w:rPr>
          <w:rFonts w:ascii="Times New Roman" w:hAnsi="Times New Roman"/>
          <w:outline w:val="false"/>
          <w:color w:val="ED220B"/>
          <w:sz w:val="32"/>
          <w:szCs w:val="32"/>
          <w14:textFill>
            <w14:solidFill>
              <w14:srgbClr w14:val="EE220C"/>
            </w14:solidFill>
          </w14:textFill>
        </w:rPr>
        <w:t>1.4.4.4</w:t>
      </w:r>
      <w:r>
        <w:rPr>
          <w:rFonts w:ascii="Times New Roman" w:hAnsi="Times New Roman"/>
          <w:outline w:val="false"/>
          <w:color w:val="ED220B"/>
          <w:sz w:val="32"/>
          <w:szCs w:val="32"/>
          <w:lang w:val="en-US"/>
          <w14:textFill>
            <w14:solidFill>
              <w14:srgbClr w14:val="EE220C"/>
            </w14:solidFill>
          </w14:textFill>
        </w:rPr>
        <w:t>: News Media, we survey a selected set of work on the role of media in both financial markets and on macroeconomy, respectively.  For a more comprehensive treatment we refer readers to a survey paper.</w:t>
      </w:r>
      <w:r>
        <w:rPr>
          <w:rFonts w:eastAsia="Times New Roman" w:cs="Times New Roman" w:ascii="Times New Roman" w:hAnsi="Times New Roman"/>
          <w:outline w:val="false"/>
          <w:color w:val="ED220B"/>
          <w:sz w:val="32"/>
          <w:szCs w:val="32"/>
          <w14:textFill>
            <w14:solidFill>
              <w14:srgbClr w14:val="EE220C"/>
            </w14:solidFill>
          </w14:textFill>
        </w:rPr>
        <w:br/>
      </w:r>
    </w:p>
    <w:p>
      <w:pPr>
        <w:pStyle w:val="Default"/>
        <w:numPr>
          <w:ilvl w:val="1"/>
          <w:numId w:val="2"/>
        </w:numPr>
        <w:bidi w:val="0"/>
        <w:spacing w:before="0" w:after="0"/>
        <w:ind w:left="1440" w:right="0" w:hanging="500"/>
        <w:jc w:val="left"/>
        <w:rPr>
          <w:rFonts w:ascii="Times New Roman" w:hAnsi="Times New Roman"/>
          <w:sz w:val="32"/>
          <w:szCs w:val="32"/>
          <w:lang w:val="en-US"/>
        </w:rPr>
      </w:pPr>
      <w:r>
        <w:rPr>
          <w:rFonts w:ascii="Times New Roman" w:hAnsi="Times New Roman"/>
          <w:sz w:val="32"/>
          <w:szCs w:val="32"/>
          <w:lang w:val="en-US"/>
        </w:rPr>
        <w:t xml:space="preserve">Do not be shy to express your critique on things like rational inattention and other informational rigidity theories (Marco). But keep in mind our point 12. below. </w:t>
      </w:r>
      <w:r>
        <w:rPr>
          <w:rFonts w:eastAsia="Times New Roman" w:cs="Times New Roman" w:ascii="Times New Roman" w:hAnsi="Times New Roman"/>
          <w:sz w:val="32"/>
          <w:szCs w:val="32"/>
        </w:rPr>
        <w:br/>
        <w:br/>
      </w:r>
      <w:r>
        <w:rPr>
          <w:rFonts w:ascii="Times New Roman" w:hAnsi="Times New Roman"/>
          <w:outline w:val="false"/>
          <w:color w:val="FF2600"/>
          <w:sz w:val="32"/>
          <w:szCs w:val="32"/>
          <w:lang w:val="en-US"/>
          <w14:textFill>
            <w14:solidFill>
              <w14:srgbClr w14:val="FF2600"/>
            </w14:solidFill>
          </w14:textFill>
        </w:rPr>
        <w:t>On page 25 and in footnote 22, we made the point that “rational inattention” could be a better fit for modeling professional forecasters than for households.  More generally, we have tried to be milder in our wording of critiques of approaches that we think are flawed.</w:t>
      </w:r>
      <w:r>
        <w:rPr>
          <w:rFonts w:eastAsia="Times New Roman" w:cs="Times New Roman" w:ascii="Times New Roman" w:hAnsi="Times New Roman"/>
          <w:sz w:val="32"/>
          <w:szCs w:val="32"/>
        </w:rPr>
        <w:br/>
      </w:r>
    </w:p>
    <w:p>
      <w:pPr>
        <w:pStyle w:val="Default"/>
        <w:numPr>
          <w:ilvl w:val="1"/>
          <w:numId w:val="2"/>
        </w:numPr>
        <w:bidi w:val="0"/>
        <w:spacing w:before="0" w:after="320"/>
        <w:ind w:left="1440" w:right="0" w:hanging="500"/>
        <w:jc w:val="left"/>
        <w:rPr>
          <w:rFonts w:ascii="Times New Roman" w:hAnsi="Times New Roman"/>
          <w:sz w:val="32"/>
          <w:szCs w:val="32"/>
          <w:lang w:val="en-US"/>
        </w:rPr>
      </w:pPr>
      <w:r>
        <w:rPr>
          <w:rFonts w:ascii="Times New Roman" w:hAnsi="Times New Roman"/>
          <w:sz w:val="32"/>
          <w:szCs w:val="32"/>
          <w:lang w:val="en-US"/>
        </w:rPr>
        <w:t xml:space="preserve">Cosmin suggested you include a recent paper of his that is related. </w:t>
      </w:r>
      <w:r>
        <w:rPr>
          <w:rFonts w:eastAsia="Times New Roman" w:cs="Times New Roman" w:ascii="Times New Roman" w:hAnsi="Times New Roman"/>
          <w:sz w:val="32"/>
          <w:szCs w:val="32"/>
        </w:rPr>
        <w:br/>
        <w:br/>
      </w:r>
      <w:r>
        <w:rPr>
          <w:rFonts w:ascii="Times New Roman" w:hAnsi="Times New Roman"/>
          <w:outline w:val="false"/>
          <w:color w:val="FF2600"/>
          <w:sz w:val="32"/>
          <w:szCs w:val="32"/>
          <w:lang w:val="en-US"/>
          <w14:textFill>
            <w14:solidFill>
              <w14:srgbClr w14:val="FF2600"/>
            </w14:solidFill>
          </w14:textFill>
        </w:rPr>
        <w:t xml:space="preserve">See the top line on page 3, where we cite Cosmin’s </w:t>
      </w:r>
      <w:r>
        <w:rPr>
          <w:rFonts w:ascii="Times New Roman" w:hAnsi="Times New Roman"/>
          <w:outline w:val="false"/>
          <w:color w:val="FF2600"/>
          <w:sz w:val="32"/>
          <w:szCs w:val="32"/>
          <w:lang w:val="en-US"/>
          <w14:textFill>
            <w14:solidFill>
              <w14:srgbClr w14:val="FF2600"/>
            </w14:solidFill>
          </w14:textFill>
        </w:rPr>
        <w:t xml:space="preserve">excellent </w:t>
      </w:r>
      <w:r>
        <w:rPr>
          <w:rFonts w:ascii="Times New Roman" w:hAnsi="Times New Roman"/>
          <w:outline w:val="false"/>
          <w:color w:val="FF2600"/>
          <w:sz w:val="32"/>
          <w:szCs w:val="32"/>
          <w:lang w:val="en-US"/>
          <w14:textFill>
            <w14:solidFill>
              <w14:srgbClr w14:val="FF2600"/>
            </w14:solidFill>
          </w14:textFill>
        </w:rPr>
        <w:t xml:space="preserve">paper as an example of bounded rationality approaches. </w:t>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When appropriate please add cross-references to chapter 5 (Fuster and Zafar) on information experiments and endogenous information acquisition, as well as chapter 8 (Piazzesi, Stroebel, Kuchler). Possibly other chapters as well. </w:t>
      </w:r>
      <w:r>
        <w:rPr>
          <w:rFonts w:eastAsia="Times New Roman" w:cs="Times New Roman" w:ascii="Times New Roman" w:hAnsi="Times New Roman"/>
          <w:sz w:val="32"/>
          <w:szCs w:val="32"/>
        </w:rPr>
        <w:br/>
        <w:br/>
      </w:r>
      <w:r>
        <w:rPr>
          <w:rFonts w:ascii="Times New Roman" w:hAnsi="Times New Roman"/>
          <w:outline w:val="false"/>
          <w:color w:val="FF2600"/>
          <w:sz w:val="32"/>
          <w:szCs w:val="32"/>
          <w:lang w:val="en-US"/>
          <w14:textFill>
            <w14:solidFill>
              <w14:srgbClr w14:val="FF2600"/>
            </w14:solidFill>
          </w14:textFill>
        </w:rPr>
        <w:t>We cross-reference following chapters in our paper:</w:t>
      </w:r>
      <w:r>
        <w:rPr>
          <w:rFonts w:eastAsia="Times New Roman" w:cs="Times New Roman" w:ascii="Times New Roman" w:hAnsi="Times New Roman"/>
          <w:outline w:val="false"/>
          <w:color w:val="FF2600"/>
          <w:sz w:val="32"/>
          <w:szCs w:val="32"/>
          <w14:textFill>
            <w14:solidFill>
              <w14:srgbClr w14:val="FF2600"/>
            </w14:solidFill>
          </w14:textFill>
        </w:rPr>
        <w:br/>
      </w:r>
      <w:r>
        <w:rPr>
          <w:rFonts w:ascii="Times New Roman" w:hAnsi="Times New Roman"/>
          <w:outline w:val="false"/>
          <w:color w:val="FF2600"/>
          <w:sz w:val="32"/>
          <w:szCs w:val="32"/>
          <w:lang w:val="en-US"/>
          <w14:textFill>
            <w14:solidFill>
              <w14:srgbClr w14:val="FF2600"/>
            </w14:solidFill>
          </w14:textFill>
        </w:rPr>
        <w:t xml:space="preserve">- Chapter 1, Household Surveys and Probabilistic Questions for a list of surveys. (page 4) </w:t>
      </w:r>
      <w:r>
        <w:rPr>
          <w:rFonts w:eastAsia="Times New Roman" w:cs="Times New Roman" w:ascii="Times New Roman" w:hAnsi="Times New Roman"/>
          <w:outline w:val="false"/>
          <w:color w:val="FF2600"/>
          <w:sz w:val="32"/>
          <w:szCs w:val="32"/>
          <w14:textFill>
            <w14:solidFill>
              <w14:srgbClr w14:val="FF2600"/>
            </w14:solidFill>
          </w14:textFill>
        </w:rPr>
        <w:br/>
      </w:r>
      <w:r>
        <w:rPr>
          <w:rFonts w:ascii="Times New Roman" w:hAnsi="Times New Roman"/>
          <w:outline w:val="false"/>
          <w:color w:val="FF2600"/>
          <w:sz w:val="32"/>
          <w:szCs w:val="32"/>
          <w:lang w:val="en-US"/>
          <w14:textFill>
            <w14:solidFill>
              <w14:srgbClr w14:val="FF2600"/>
            </w14:solidFill>
          </w14:textFill>
        </w:rPr>
        <w:t xml:space="preserve">- Chapter 7, Inflation Expectations, </w:t>
        <w:br/>
        <w:t xml:space="preserve">- and Chapter 25, Bayesian Learning, for non-social models of macroeconomic expectation formation and for detailed microfoundations of sticky information models. (page 23) </w:t>
      </w:r>
      <w:r>
        <w:rPr>
          <w:rFonts w:eastAsia="Times New Roman" w:cs="Times New Roman" w:ascii="Times New Roman" w:hAnsi="Times New Roman"/>
          <w:outline w:val="false"/>
          <w:color w:val="FF2600"/>
          <w:sz w:val="32"/>
          <w:szCs w:val="32"/>
          <w14:textFill>
            <w14:solidFill>
              <w14:srgbClr w14:val="FF2600"/>
            </w14:solidFill>
          </w14:textFill>
        </w:rPr>
        <w:br/>
      </w:r>
      <w:r>
        <w:rPr>
          <w:rFonts w:ascii="Times New Roman" w:hAnsi="Times New Roman"/>
          <w:outline w:val="false"/>
          <w:color w:val="FF2600"/>
          <w:sz w:val="32"/>
          <w:szCs w:val="32"/>
          <w:lang w:val="en-US"/>
          <w14:textFill>
            <w14:solidFill>
              <w14:srgbClr w14:val="FF2600"/>
            </w14:solidFill>
          </w14:textFill>
        </w:rPr>
        <w:t xml:space="preserve">- Chapter 8, Housing Market Expectations for other drivers of housing market expectations. (page 29) </w:t>
      </w:r>
    </w:p>
    <w:p>
      <w:pPr>
        <w:pStyle w:val="Default"/>
        <w:numPr>
          <w:ilvl w:val="0"/>
          <w:numId w:val="0"/>
        </w:numPr>
        <w:bidi w:val="0"/>
        <w:spacing w:before="0" w:after="0"/>
        <w:ind w:left="940" w:right="0" w:hanging="0"/>
        <w:jc w:val="left"/>
        <w:rPr>
          <w:rFonts w:ascii="Times New Roman" w:hAnsi="Times New Roman"/>
          <w:sz w:val="32"/>
          <w:szCs w:val="32"/>
          <w:lang w:val="en-US"/>
        </w:rPr>
      </w:pPr>
      <w:r>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Any evidence on how EE matter for economic choice behavior? How the source of information matters?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We summarize a considerable number of papers that show that social interactions not only affect beliefs/expectations but also affect economic choices, including our Figure 1.1 that shows the different portfolio responses by Democrats and Republicans following the surprising election outcome in 2016. In particular, in Section 1.4.4., Empirical Evidence, we survey the rapidly expanding literature that shows that choices reflect expectations, in the context of stock investment, housing purchase, and consumer spending. </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Is there any relationship to recent work on asking about </w:t>
      </w:r>
      <w:r>
        <w:rPr>
          <w:rFonts w:ascii="Times New Roman" w:hAnsi="Times New Roman"/>
          <w:sz w:val="32"/>
          <w:szCs w:val="32"/>
          <w:lang w:val="ar-SA" w:bidi="ar-SA"/>
        </w:rPr>
        <w:t>“</w:t>
      </w:r>
      <w:r>
        <w:rPr>
          <w:rFonts w:ascii="Times New Roman" w:hAnsi="Times New Roman"/>
          <w:sz w:val="32"/>
          <w:szCs w:val="32"/>
          <w:lang w:val="en-US"/>
        </w:rPr>
        <w:t>people like you</w:t>
      </w:r>
      <w:r>
        <w:rPr>
          <w:rFonts w:ascii="Times New Roman" w:hAnsi="Times New Roman"/>
          <w:sz w:val="32"/>
          <w:szCs w:val="32"/>
        </w:rPr>
        <w:t>”</w:t>
      </w:r>
      <w:r>
        <w:rPr>
          <w:rFonts w:ascii="Times New Roman" w:hAnsi="Times New Roman"/>
          <w:sz w:val="32"/>
          <w:szCs w:val="32"/>
          <w:lang w:val="en-US"/>
        </w:rPr>
        <w:t xml:space="preserve">, for example when asking about voting intentions?  The paper by Galesic, W. Bruine de Bruin, M. </w:t>
      </w:r>
      <w:r>
        <w:rPr>
          <w:rFonts w:ascii="Times Roman" w:hAnsi="Times Roman"/>
          <w:sz w:val="24"/>
          <w:szCs w:val="24"/>
          <w:lang w:val="en-US"/>
        </w:rPr>
        <w:t xml:space="preserve"> </w:t>
      </w:r>
      <w:r>
        <w:rPr>
          <w:rFonts w:ascii="Times New Roman" w:hAnsi="Times New Roman"/>
          <w:sz w:val="32"/>
          <w:szCs w:val="32"/>
          <w:lang w:val="en-US"/>
        </w:rPr>
        <w:t xml:space="preserve">Dumas, A. Kapteyn, J. E. Darling, and E. Meijer, "Asking about social circles improves election predictions." </w:t>
      </w:r>
      <w:r>
        <w:rPr>
          <w:rFonts w:ascii="Times Roman" w:hAnsi="Times Roman"/>
          <w:i/>
          <w:iCs/>
          <w:sz w:val="32"/>
          <w:szCs w:val="32"/>
          <w:lang w:val="en-US"/>
        </w:rPr>
        <w:t xml:space="preserve">Nature Human Behaviour </w:t>
      </w:r>
      <w:r>
        <w:rPr>
          <w:rFonts w:ascii="Times New Roman" w:hAnsi="Times New Roman"/>
          <w:sz w:val="32"/>
          <w:szCs w:val="32"/>
        </w:rPr>
        <w:t>2: 187-193, finds that an advantage of that approach is that it can elicit reliable responses in situations where people are not</w:t>
      </w:r>
      <w:r>
        <w:rPr>
          <w:rFonts w:ascii="Times New Roman" w:hAnsi="Times New Roman"/>
          <w:sz w:val="32"/>
          <w:szCs w:val="32"/>
          <w:lang w:val="en-US"/>
        </w:rPr>
        <w:t xml:space="preserve"> comfortable with disclosing their true preferences, but may be willing to give information about people around them. Also see </w:t>
      </w:r>
      <w:r>
        <w:rPr>
          <w:rFonts w:ascii="Times New Roman" w:hAnsi="Times New Roman"/>
          <w:outline w:val="false"/>
          <w:color w:val="0563C0"/>
          <w:sz w:val="32"/>
          <w:szCs w:val="32"/>
          <w:lang w:val="en-US"/>
          <w14:textFill>
            <w14:solidFill>
              <w14:srgbClr w14:val="0563C1"/>
            </w14:solidFill>
          </w14:textFill>
        </w:rPr>
        <w:t xml:space="preserve">Predicted preference conjoint analysis (nih.gov).  </w:t>
      </w:r>
      <w:r>
        <w:rPr>
          <w:rFonts w:ascii="Times New Roman" w:hAnsi="Times New Roman"/>
          <w:sz w:val="32"/>
          <w:szCs w:val="32"/>
          <w:lang w:val="en-US"/>
        </w:rPr>
        <w:t xml:space="preserve">While the focus clearly is different, we wonder if the collection of such data could be useful for EE modeling.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This did not fit well into any of our existing sections, but we have now added section 1.4.7. Future Directions, in which both references fit nicely.  The bulk of that section contains ideas for how expectational surveys could be improved by an increased focus on people’s interactions with their social circles.  In footnote 32, we also have a new citation to </w:t>
      </w:r>
      <w:r>
        <w:rPr>
          <w:rFonts w:ascii="Times New Roman" w:hAnsi="Times New Roman"/>
          <w:outline w:val="false"/>
          <w:color w:val="ED220B"/>
          <w:sz w:val="32"/>
          <w:szCs w:val="32"/>
          <w14:textFill>
            <w14:solidFill>
              <w14:srgbClr w14:val="EE220C"/>
            </w14:solidFill>
          </w14:textFill>
        </w:rPr>
        <w:t>Arrondel et al. [2020</w:t>
      </w:r>
      <w:r>
        <w:rPr>
          <w:rFonts w:ascii="Times New Roman" w:hAnsi="Times New Roman"/>
          <w:outline w:val="false"/>
          <w:color w:val="ED220B"/>
          <w:sz w:val="32"/>
          <w:szCs w:val="32"/>
          <w:lang w:val="en-US"/>
          <w14:textFill>
            <w14:solidFill>
              <w14:srgbClr w14:val="EE220C"/>
            </w14:solidFill>
          </w14:textFill>
        </w:rPr>
        <w:t xml:space="preserve">], which asks survey respondents explicitly about the extent to which their beliefs about the stock market are influenced by their social circles. </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Any lessons/implications regarding social interaction research generally </w:t>
      </w:r>
      <w:r>
        <w:rPr>
          <w:rFonts w:ascii="Times New Roman" w:hAnsi="Times New Roman"/>
          <w:sz w:val="32"/>
          <w:szCs w:val="32"/>
        </w:rPr>
        <w:t xml:space="preserve">– </w:t>
      </w:r>
      <w:r>
        <w:rPr>
          <w:rFonts w:ascii="Times New Roman" w:hAnsi="Times New Roman"/>
          <w:sz w:val="32"/>
          <w:szCs w:val="32"/>
          <w:lang w:val="en-US"/>
        </w:rPr>
        <w:t>such as work on importance of networks for job search? Any specific lessons about mechanisms and impact on outcomes? For one, existing work may imply that besides influencing expectations, such interactions may also directly affect behavior, leading to a potential endogeneity problem in distinguishing causal effects of expectations on behavior. For example, I may learn from friends that job prospects in the area have improved a lot, which causes me to increase my expectations. At the same time these same friends or others may tell me about a specific current vacancy I would be interested in. When researchers see improvement in my earnings, they likely won</w:t>
      </w:r>
      <w:r>
        <w:rPr>
          <w:rFonts w:ascii="Times New Roman" w:hAnsi="Times New Roman"/>
          <w:sz w:val="32"/>
          <w:szCs w:val="32"/>
        </w:rPr>
        <w:t>’</w:t>
      </w:r>
      <w:r>
        <w:rPr>
          <w:rFonts w:ascii="Times New Roman" w:hAnsi="Times New Roman"/>
          <w:sz w:val="32"/>
          <w:szCs w:val="32"/>
          <w:lang w:val="en-US"/>
        </w:rPr>
        <w:t xml:space="preserve">t be able to distinguish the relative importance of the two mechanism.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See responses to point 5 above; we have included the point about job-seekers directly in the “future directions” section, as an example of how questions about the content of information from social circles could be elicited.  In addition, in the revised Section 1.4.7, we discuss the reflection problem identified by Manski (1993). </w:t>
      </w:r>
      <w:r>
        <w:rPr>
          <w:rFonts w:eastAsia="Times New Roman" w:cs="Times New Roman" w:ascii="Times New Roman" w:hAnsi="Times New Roman"/>
          <w:outline w:val="false"/>
          <w:color w:val="ED220B"/>
          <w:sz w:val="32"/>
          <w:szCs w:val="32"/>
          <w:lang w:val="en-US"/>
          <w14:textFill>
            <w14:solidFill>
              <w14:srgbClr w14:val="EE220C"/>
            </w14:solidFill>
          </w14:textFill>
        </w:rPr>
        <w:t xml:space="preserve"> </w:t>
      </w:r>
      <w:r>
        <w:rPr>
          <w:rFonts w:ascii="Times New Roman" w:hAnsi="Times New Roman"/>
          <w:outline w:val="false"/>
          <w:color w:val="ED220B"/>
          <w:sz w:val="32"/>
          <w:szCs w:val="32"/>
          <w:lang w:val="en-US"/>
          <w14:textFill>
            <w14:solidFill>
              <w14:srgbClr w14:val="EE220C"/>
            </w14:solidFill>
          </w14:textFill>
        </w:rPr>
        <w:t xml:space="preserve">We also situate the seminal work on the role of “weak ties” in job search by </w:t>
      </w:r>
      <w:r>
        <w:rPr>
          <w:rFonts w:ascii="Times New Roman" w:hAnsi="Times New Roman"/>
          <w:outline w:val="false"/>
          <w:color w:val="ED220B"/>
          <w:sz w:val="32"/>
          <w:szCs w:val="32"/>
          <w:lang w:val="pt-PT"/>
          <w14:textFill>
            <w14:solidFill>
              <w14:srgbClr w14:val="EE220C"/>
            </w14:solidFill>
          </w14:textFill>
        </w:rPr>
        <w:t>Granovetter [1973]</w:t>
      </w:r>
      <w:r>
        <w:rPr>
          <w:rFonts w:ascii="Times New Roman" w:hAnsi="Times New Roman"/>
          <w:outline w:val="false"/>
          <w:color w:val="ED220B"/>
          <w:sz w:val="32"/>
          <w:szCs w:val="32"/>
          <w:lang w:val="en-US"/>
          <w14:textFill>
            <w14:solidFill>
              <w14:srgbClr w14:val="EE220C"/>
            </w14:solidFill>
          </w14:textFill>
        </w:rPr>
        <w:t xml:space="preserve"> in the discussion of network theory.  </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Another aspect from the literature on social interactions that may be relevant here is the measurement of (social) distance. Rather than geographic distance, social distance capture proximity in terms of education, religion, race etc.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In our revised section 1.2.3, (at the top of page 6), we emphasize that the social connections are not limited to geographical proximity, and family/work/friend relationships, and have pointed out that this is an example of why the network formulation of epidemiological models is attractive (it can handle any kind of connection a researcher might want to contemplate).</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Consider taking out the </w:t>
      </w:r>
      <w:r>
        <w:rPr>
          <w:rFonts w:ascii="Times Roman" w:hAnsi="Times Roman"/>
          <w:i/>
          <w:iCs/>
          <w:sz w:val="32"/>
          <w:szCs w:val="32"/>
          <w:lang w:val="fr-FR"/>
        </w:rPr>
        <w:t xml:space="preserve">Inception </w:t>
      </w:r>
      <w:r>
        <w:rPr>
          <w:rFonts w:ascii="Times New Roman" w:hAnsi="Times New Roman"/>
          <w:sz w:val="32"/>
          <w:szCs w:val="32"/>
          <w:lang w:val="pt-PT"/>
        </w:rPr>
        <w:t xml:space="preserve">reference.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We reconsidered it, but decided to keep it for a number of reasons.  The fact that epidemiological views are a commonplace in popular understanding of the spread of ideas is a substantively important point; if people widely subscribe to the idea that they get their ideas via contagion, that should be taken as direct evidence that the proposition might be true.  We’ve never encountered any similar quote that could be trotted out in support of the Rational Expectations or Rational Inattention models.  (One suspects that if everyone were constantly having to solve Rational Expectations or, even harder, Rational Inattention models,  there would be lots of quotes in which people would complain about how hard it is or how it prevents them from watching their favorite TV shows or whatever).  We considered a number of other quotes from popular sources, but chose this one because it is brief and pithy.  </w:t>
      </w:r>
    </w:p>
    <w:p>
      <w:pPr>
        <w:pStyle w:val="Default"/>
        <w:bidi w:val="0"/>
        <w:spacing w:before="0" w:after="0"/>
        <w:ind w:left="0" w:right="0" w:hanging="0"/>
        <w:jc w:val="left"/>
        <w:rPr/>
      </w:pPr>
      <w:r>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Overall, we felt that your writing is, at times, a bit hostile and caustic to traditional Economics. While we may share your sentiment and we also do not want to micromanage our contributors, we want this Handbook to be inclusive and not divisive, so perhaps when you read through it again, check whether you are happy with the tone.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In the revised draft, we moderated the</w:t>
      </w:r>
      <w:r>
        <w:rPr>
          <w:rFonts w:ascii="Times New Roman" w:hAnsi="Times New Roman"/>
          <w:outline w:val="false"/>
          <w:color w:val="ED220B"/>
          <w:sz w:val="32"/>
          <w:szCs w:val="32"/>
          <w14:textFill>
            <w14:solidFill>
              <w14:srgbClr w14:val="EE220C"/>
            </w14:solidFill>
          </w14:textFill>
        </w:rPr>
        <w:t xml:space="preserve"> </w:t>
      </w:r>
      <w:r>
        <w:rPr>
          <w:rFonts w:ascii="Times New Roman" w:hAnsi="Times New Roman"/>
          <w:outline w:val="false"/>
          <w:color w:val="ED220B"/>
          <w:sz w:val="32"/>
          <w:szCs w:val="32"/>
          <w:lang w:val="en-US"/>
          <w14:textFill>
            <w14:solidFill>
              <w14:srgbClr w14:val="EE220C"/>
            </w14:solidFill>
          </w14:textFill>
        </w:rPr>
        <w:t xml:space="preserve">tone in various places, and we believe that now the paper strikes a good balance between being critical and constructive at the same time. </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Page 16, the paragraph starting with </w:t>
      </w:r>
      <w:r>
        <w:rPr>
          <w:rFonts w:ascii="Times New Roman" w:hAnsi="Times New Roman"/>
          <w:sz w:val="32"/>
          <w:szCs w:val="32"/>
          <w:lang w:val="ar-SA" w:bidi="ar-SA"/>
        </w:rPr>
        <w:t>“</w:t>
      </w:r>
      <w:r>
        <w:rPr>
          <w:rFonts w:ascii="Times New Roman" w:hAnsi="Times New Roman"/>
          <w:sz w:val="32"/>
          <w:szCs w:val="32"/>
          <w:lang w:val="en-US"/>
        </w:rPr>
        <w:t>The paper also</w:t>
      </w:r>
      <w:r>
        <w:rPr>
          <w:rFonts w:ascii="Times New Roman" w:hAnsi="Times New Roman"/>
          <w:sz w:val="32"/>
          <w:szCs w:val="32"/>
        </w:rPr>
        <w:t>”</w:t>
      </w:r>
      <w:r>
        <w:rPr>
          <w:rFonts w:ascii="Times New Roman" w:hAnsi="Times New Roman"/>
          <w:sz w:val="32"/>
          <w:szCs w:val="32"/>
          <w:lang w:val="en-US"/>
        </w:rPr>
        <w:t xml:space="preserve">... - could you provide a bit more intuition for the results mentioned there? How does this relate to the classic RE result that stock prices are (approximate) RWs?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We now elaborate more on the logic behind Shiller and Pound (1989)’s </w:t>
      </w:r>
      <w:r>
        <w:rPr>
          <w:rFonts w:ascii="Times New Roman" w:hAnsi="Times New Roman"/>
          <w:outline w:val="false"/>
          <w:color w:val="ED220B"/>
          <w:sz w:val="32"/>
          <w:szCs w:val="32"/>
          <w:lang w:val="en-US"/>
          <w14:textFill>
            <w14:solidFill>
              <w14:srgbClr w14:val="EE220C"/>
            </w14:solidFill>
          </w14:textFill>
        </w:rPr>
        <w:t>point</w:t>
      </w:r>
      <w:r>
        <w:rPr>
          <w:rFonts w:ascii="Times New Roman" w:hAnsi="Times New Roman"/>
          <w:outline w:val="false"/>
          <w:color w:val="ED220B"/>
          <w:sz w:val="32"/>
          <w:szCs w:val="32"/>
          <w:lang w:val="en-US"/>
          <w14:textFill>
            <w14:solidFill>
              <w14:srgbClr w14:val="EE220C"/>
            </w14:solidFill>
          </w14:textFill>
        </w:rPr>
        <w:t xml:space="preserve"> that in a special case of the SIR model where infection and recovery rate</w:t>
      </w:r>
      <w:r>
        <w:rPr>
          <w:rFonts w:ascii="Times New Roman" w:hAnsi="Times New Roman"/>
          <w:outline w:val="false"/>
          <w:color w:val="ED220B"/>
          <w:sz w:val="32"/>
          <w:szCs w:val="32"/>
          <w:lang w:val="en-US"/>
          <w14:textFill>
            <w14:solidFill>
              <w14:srgbClr w14:val="EE220C"/>
            </w14:solidFill>
          </w14:textFill>
        </w:rPr>
        <w:t>s</w:t>
      </w:r>
      <w:r>
        <w:rPr>
          <w:rFonts w:ascii="Times New Roman" w:hAnsi="Times New Roman"/>
          <w:outline w:val="false"/>
          <w:color w:val="ED220B"/>
          <w:sz w:val="32"/>
          <w:szCs w:val="32"/>
          <w:lang w:val="en-US"/>
          <w14:textFill>
            <w14:solidFill>
              <w14:srgbClr w14:val="EE220C"/>
            </w14:solidFill>
          </w14:textFill>
        </w:rPr>
        <w:t xml:space="preserve"> are close enough and the pool of interested investors are subject to serially uncorrelated shocks, interest in the stocks could follow a random walk. (See page 20 and footnote 19)</w:t>
      </w:r>
    </w:p>
    <w:p>
      <w:pPr>
        <w:pStyle w:val="Default"/>
        <w:numPr>
          <w:ilvl w:val="0"/>
          <w:numId w:val="0"/>
        </w:numPr>
        <w:bidi w:val="0"/>
        <w:spacing w:before="0" w:after="0"/>
        <w:ind w:left="940" w:right="0" w:hanging="0"/>
        <w:jc w:val="left"/>
        <w:rPr>
          <w:rFonts w:ascii="Times New Roman" w:hAnsi="Times New Roman"/>
          <w:sz w:val="32"/>
          <w:szCs w:val="32"/>
          <w:lang w:val="en-US"/>
        </w:rPr>
      </w:pPr>
      <w:r>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Page 22: this is an interesting part of the chapter, but can it be made in a bit more concise way?</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See the revised (shorter) Section 1.4.5.</w:t>
      </w:r>
    </w:p>
    <w:p>
      <w:pPr>
        <w:pStyle w:val="Default"/>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 xml:space="preserve">In section 1.4.5.3 </w:t>
      </w:r>
      <w:r>
        <w:rPr>
          <w:rFonts w:ascii="Times New Roman" w:hAnsi="Times New Roman"/>
          <w:sz w:val="32"/>
          <w:szCs w:val="32"/>
        </w:rPr>
        <w:t xml:space="preserve">– </w:t>
      </w:r>
      <w:r>
        <w:rPr>
          <w:rFonts w:ascii="Times New Roman" w:hAnsi="Times New Roman"/>
          <w:sz w:val="32"/>
          <w:szCs w:val="32"/>
          <w:lang w:val="en-US"/>
        </w:rPr>
        <w:t>connect with Kuchler and Stroebel</w:t>
      </w:r>
      <w:r>
        <w:rPr>
          <w:rFonts w:ascii="Times New Roman" w:hAnsi="Times New Roman"/>
          <w:sz w:val="32"/>
          <w:szCs w:val="32"/>
        </w:rPr>
        <w:t>’</w:t>
      </w:r>
      <w:r>
        <w:rPr>
          <w:rFonts w:ascii="Times New Roman" w:hAnsi="Times New Roman"/>
          <w:sz w:val="32"/>
          <w:szCs w:val="32"/>
          <w:lang w:val="en-US"/>
        </w:rPr>
        <w:t>s empirical work on networks.</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See the last paragraph in the revised Section 1.4.4.3 (page 29)</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Section 1.2.4. If considered relevant, on polarization in beliefs observed in the SCE, see Political Polarization in Consumer Expectations - Liberty Street Economics (newyorkfed.org) Economic Expectations Grow Less Polarized since the 2016 Election - Liberty Street Economics (</w:t>
      </w:r>
      <w:hyperlink r:id="rId2">
        <w:r>
          <w:rPr>
            <w:rStyle w:val="Hyperlink0"/>
            <w:rFonts w:ascii="Times New Roman" w:hAnsi="Times New Roman"/>
            <w:sz w:val="32"/>
            <w:szCs w:val="32"/>
            <w:lang w:val="en-US"/>
          </w:rPr>
          <w:t>newyorkfed.org</w:t>
        </w:r>
      </w:hyperlink>
      <w:r>
        <w:rPr>
          <w:rFonts w:ascii="Times New Roman" w:hAnsi="Times New Roman"/>
          <w:sz w:val="32"/>
          <w:szCs w:val="32"/>
        </w:rPr>
        <w:t>)</w:t>
      </w:r>
      <w:r>
        <w:rPr>
          <w:rFonts w:eastAsia="Times New Roman" w:cs="Times New Roman" w:ascii="Times New Roman" w:hAnsi="Times New Roman"/>
          <w:sz w:val="32"/>
          <w:szCs w:val="32"/>
        </w:rPr>
        <w:br/>
        <w:t xml:space="preserve"> </w:t>
        <w:br/>
      </w:r>
      <w:r>
        <w:rPr>
          <w:rFonts w:ascii="Times New Roman" w:hAnsi="Times New Roman"/>
          <w:outline w:val="false"/>
          <w:color w:val="ED220B"/>
          <w:sz w:val="32"/>
          <w:szCs w:val="32"/>
          <w:lang w:val="en-US"/>
          <w14:textFill>
            <w14:solidFill>
              <w14:srgbClr w14:val="EE220C"/>
            </w14:solidFill>
          </w14:textFill>
        </w:rPr>
        <w:t>See the newly added footnote 6.</w:t>
      </w:r>
    </w:p>
    <w:p>
      <w:pPr>
        <w:pStyle w:val="Default"/>
        <w:numPr>
          <w:ilvl w:val="0"/>
          <w:numId w:val="0"/>
        </w:numPr>
        <w:bidi w:val="0"/>
        <w:spacing w:before="0" w:after="0"/>
        <w:ind w:left="940" w:right="0" w:hanging="0"/>
        <w:jc w:val="left"/>
        <w:rPr>
          <w:rFonts w:ascii="Times New Roman" w:hAnsi="Times New Roman"/>
          <w:sz w:val="32"/>
          <w:szCs w:val="32"/>
          <w:lang w:val="en-US"/>
        </w:rPr>
      </w:pPr>
      <w:r>
        <w:rPr>
          <w:rFonts w:ascii="Times New Roman" w:hAnsi="Times New Roman"/>
          <w:sz w:val="32"/>
          <w:szCs w:val="32"/>
          <w:lang w:val="en-US"/>
        </w:rPr>
      </w:r>
    </w:p>
    <w:p>
      <w:pPr>
        <w:pStyle w:val="Default"/>
        <w:numPr>
          <w:ilvl w:val="0"/>
          <w:numId w:val="1"/>
        </w:numPr>
        <w:bidi w:val="0"/>
        <w:spacing w:before="0" w:after="0"/>
        <w:ind w:left="720" w:right="0" w:hanging="500"/>
        <w:jc w:val="left"/>
        <w:rPr>
          <w:rFonts w:ascii="Times New Roman" w:hAnsi="Times New Roman"/>
          <w:sz w:val="32"/>
          <w:szCs w:val="32"/>
          <w:lang w:val="en-US"/>
        </w:rPr>
      </w:pPr>
      <w:r>
        <w:rPr>
          <w:rFonts w:ascii="Times New Roman" w:hAnsi="Times New Roman"/>
          <w:sz w:val="32"/>
          <w:szCs w:val="32"/>
          <w:lang w:val="en-US"/>
        </w:rPr>
        <w:t>How important is the frequency of media releases or information receipt?</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See footnote 26, and the paragraph in page 25: we write that “The speed at which inflation expectations move toward the rational expectation will depend on the intensity of news coverage of inflation…” We cite </w:t>
      </w:r>
      <w:r>
        <w:rPr>
          <w:rFonts w:ascii="Times New Roman" w:hAnsi="Times New Roman"/>
          <w:outline w:val="false"/>
          <w:color w:val="0000FF"/>
          <w:sz w:val="32"/>
          <w:szCs w:val="32"/>
          <w:lang w:val="en-US"/>
          <w14:textFill>
            <w14:solidFill>
              <w14:srgbClr w14:val="0000FF"/>
            </w14:solidFill>
          </w14:textFill>
        </w:rPr>
        <w:t xml:space="preserve">Carroll </w:t>
      </w:r>
      <w:r>
        <w:rPr>
          <w:rFonts w:ascii="Times New Roman" w:hAnsi="Times New Roman"/>
          <w:sz w:val="32"/>
          <w:szCs w:val="32"/>
          <w:lang w:val="pt-PT"/>
        </w:rPr>
        <w:t>[</w:t>
      </w:r>
      <w:r>
        <w:rPr>
          <w:rFonts w:ascii="Times New Roman" w:hAnsi="Times New Roman"/>
          <w:outline w:val="false"/>
          <w:color w:val="0000FF"/>
          <w:sz w:val="32"/>
          <w:szCs w:val="32"/>
          <w14:textFill>
            <w14:solidFill>
              <w14:srgbClr w14:val="0000FF"/>
            </w14:solidFill>
          </w14:textFill>
        </w:rPr>
        <w:t>2003</w:t>
      </w:r>
      <w:r>
        <w:rPr>
          <w:rFonts w:ascii="Times New Roman" w:hAnsi="Times New Roman"/>
          <w:sz w:val="32"/>
          <w:szCs w:val="32"/>
          <w:lang w:val="pt-PT"/>
        </w:rPr>
        <w:t>]</w:t>
      </w:r>
      <w:r>
        <w:rPr>
          <w:rFonts w:ascii="Times New Roman" w:hAnsi="Times New Roman"/>
          <w:sz w:val="32"/>
          <w:szCs w:val="32"/>
          <w:lang w:val="en-US"/>
        </w:rPr>
        <w:t xml:space="preserve">, </w:t>
      </w:r>
      <w:r>
        <w:rPr>
          <w:rFonts w:ascii="Times New Roman" w:hAnsi="Times New Roman"/>
          <w:outline w:val="false"/>
          <w:color w:val="0000FF"/>
          <w:sz w:val="32"/>
          <w:szCs w:val="32"/>
          <w:lang w:val="en-US"/>
          <w14:textFill>
            <w14:solidFill>
              <w14:srgbClr w14:val="0000FF"/>
            </w14:solidFill>
          </w14:textFill>
        </w:rPr>
        <w:t xml:space="preserve">Lamla and Lein </w:t>
      </w:r>
      <w:r>
        <w:rPr>
          <w:rFonts w:ascii="Times New Roman" w:hAnsi="Times New Roman"/>
          <w:sz w:val="32"/>
          <w:szCs w:val="32"/>
          <w:lang w:val="pt-PT"/>
        </w:rPr>
        <w:t>[</w:t>
      </w:r>
      <w:r>
        <w:rPr>
          <w:rFonts w:ascii="Times New Roman" w:hAnsi="Times New Roman"/>
          <w:outline w:val="false"/>
          <w:color w:val="0000FF"/>
          <w:sz w:val="32"/>
          <w:szCs w:val="32"/>
          <w14:textFill>
            <w14:solidFill>
              <w14:srgbClr w14:val="0000FF"/>
            </w14:solidFill>
          </w14:textFill>
        </w:rPr>
        <w:t>2014</w:t>
      </w:r>
      <w:r>
        <w:rPr>
          <w:rFonts w:ascii="Times New Roman" w:hAnsi="Times New Roman"/>
          <w:sz w:val="32"/>
          <w:szCs w:val="32"/>
          <w:lang w:val="pt-PT"/>
        </w:rPr>
        <w:t xml:space="preserve">] </w:t>
      </w:r>
      <w:r>
        <w:rPr>
          <w:rFonts w:ascii="Times New Roman" w:hAnsi="Times New Roman"/>
          <w:outline w:val="false"/>
          <w:color w:val="ED220B"/>
          <w:sz w:val="32"/>
          <w:szCs w:val="32"/>
          <w14:textFill>
            <w14:solidFill>
              <w14:srgbClr w14:val="EE220C"/>
            </w14:solidFill>
          </w14:textFill>
        </w:rPr>
        <w:t>and</w:t>
      </w:r>
      <w:r>
        <w:rPr>
          <w:rFonts w:ascii="Times New Roman" w:hAnsi="Times New Roman"/>
          <w:sz w:val="32"/>
          <w:szCs w:val="32"/>
        </w:rPr>
        <w:t xml:space="preserve"> </w:t>
      </w:r>
      <w:r>
        <w:rPr>
          <w:rFonts w:ascii="Times New Roman" w:hAnsi="Times New Roman"/>
          <w:outline w:val="false"/>
          <w:color w:val="0000FF"/>
          <w:sz w:val="32"/>
          <w:szCs w:val="32"/>
          <w14:textFill>
            <w14:solidFill>
              <w14:srgbClr w14:val="0000FF"/>
            </w14:solidFill>
          </w14:textFill>
        </w:rPr>
        <w:t xml:space="preserve">Larsen et al. </w:t>
      </w:r>
      <w:r>
        <w:rPr>
          <w:rFonts w:ascii="Times New Roman" w:hAnsi="Times New Roman"/>
          <w:sz w:val="32"/>
          <w:szCs w:val="32"/>
          <w:lang w:val="pt-PT"/>
        </w:rPr>
        <w:t>[</w:t>
      </w:r>
      <w:r>
        <w:rPr>
          <w:rFonts w:ascii="Times New Roman" w:hAnsi="Times New Roman"/>
          <w:outline w:val="false"/>
          <w:color w:val="0000FF"/>
          <w:sz w:val="32"/>
          <w:szCs w:val="32"/>
          <w:lang w:val="en-US"/>
          <w14:textFill>
            <w14:solidFill>
              <w14:srgbClr w14:val="0000FF"/>
            </w14:solidFill>
          </w14:textFill>
        </w:rPr>
        <w:t>2021</w:t>
      </w:r>
      <w:r>
        <w:rPr>
          <w:rFonts w:ascii="Times New Roman" w:hAnsi="Times New Roman"/>
          <w:sz w:val="32"/>
          <w:szCs w:val="32"/>
          <w:lang w:val="pt-PT"/>
        </w:rPr>
        <w:t xml:space="preserve">] </w:t>
      </w:r>
      <w:r>
        <w:rPr>
          <w:rFonts w:ascii="Times New Roman" w:hAnsi="Times New Roman"/>
          <w:outline w:val="false"/>
          <w:color w:val="ED220B"/>
          <w:sz w:val="32"/>
          <w:szCs w:val="32"/>
          <w:lang w:val="en-US"/>
          <w14:textFill>
            <w14:solidFill>
              <w14:srgbClr w14:val="EE220C"/>
            </w14:solidFill>
          </w14:textFill>
        </w:rPr>
        <w:t>for empirical evidence supporting this claim.</w:t>
      </w:r>
      <w:r>
        <w:rPr>
          <w:rFonts w:eastAsia="Times New Roman" w:cs="Times New Roman" w:ascii="Times New Roman" w:hAnsi="Times New Roman"/>
          <w:outline w:val="false"/>
          <w:color w:val="0563C0"/>
          <w:sz w:val="32"/>
          <w:szCs w:val="32"/>
          <w14:textFill>
            <w14:solidFill>
              <w14:srgbClr w14:val="0563C1"/>
            </w14:solidFill>
          </w14:textFill>
        </w:rPr>
        <w:br/>
      </w:r>
    </w:p>
    <w:p>
      <w:pPr>
        <w:pStyle w:val="Default"/>
        <w:numPr>
          <w:ilvl w:val="0"/>
          <w:numId w:val="1"/>
        </w:numPr>
        <w:bidi w:val="0"/>
        <w:spacing w:before="0" w:after="320"/>
        <w:ind w:left="720" w:right="0" w:hanging="500"/>
        <w:jc w:val="left"/>
        <w:rPr>
          <w:rFonts w:ascii="Times New Roman" w:hAnsi="Times New Roman"/>
          <w:sz w:val="32"/>
          <w:szCs w:val="32"/>
          <w:lang w:val="en-US"/>
        </w:rPr>
      </w:pPr>
      <w:r>
        <w:rPr>
          <w:rFonts w:ascii="Times New Roman" w:hAnsi="Times New Roman"/>
          <w:sz w:val="32"/>
          <w:szCs w:val="32"/>
          <w:lang w:val="en-US"/>
        </w:rPr>
        <w:t xml:space="preserve">Regarding work analyzing the impact of media, chapter 17 (Born et al) cite a number of papers in their section 4.2 on overreactions by firms to news that may or may not be relevant for your discussion including: Chahrour, Ryan, Kristoffer Nimark, and Stefan Pitschner (2020). </w:t>
      </w:r>
      <w:r>
        <w:rPr>
          <w:rFonts w:ascii="Times New Roman" w:hAnsi="Times New Roman"/>
          <w:sz w:val="32"/>
          <w:szCs w:val="32"/>
          <w:lang w:val="ar-SA" w:bidi="ar-SA"/>
        </w:rPr>
        <w:t>“</w:t>
      </w:r>
      <w:r>
        <w:rPr>
          <w:rFonts w:ascii="Times New Roman" w:hAnsi="Times New Roman"/>
          <w:sz w:val="32"/>
          <w:szCs w:val="32"/>
          <w:lang w:val="en-US"/>
        </w:rPr>
        <w:t>Sectoral media focus and aggregate fluctuations</w:t>
      </w:r>
      <w:r>
        <w:rPr>
          <w:rFonts w:ascii="Times New Roman" w:hAnsi="Times New Roman"/>
          <w:sz w:val="32"/>
          <w:szCs w:val="32"/>
        </w:rPr>
        <w:t>”</w:t>
      </w:r>
      <w:r>
        <w:rPr>
          <w:rFonts w:ascii="Times New Roman" w:hAnsi="Times New Roman"/>
          <w:sz w:val="32"/>
          <w:szCs w:val="32"/>
          <w:lang w:val="en-US"/>
        </w:rPr>
        <w:t xml:space="preserve">; Kohlhas, Alexandre and Ansgar Walther (2021). </w:t>
      </w:r>
      <w:r>
        <w:rPr>
          <w:rFonts w:ascii="Times New Roman" w:hAnsi="Times New Roman"/>
          <w:sz w:val="32"/>
          <w:szCs w:val="32"/>
          <w:lang w:val="ar-SA" w:bidi="ar-SA"/>
        </w:rPr>
        <w:t>“</w:t>
      </w:r>
      <w:r>
        <w:rPr>
          <w:rFonts w:ascii="Times New Roman" w:hAnsi="Times New Roman"/>
          <w:sz w:val="32"/>
          <w:szCs w:val="32"/>
          <w:lang w:val="en-US"/>
        </w:rPr>
        <w:t>Asymmetric attention</w:t>
      </w:r>
      <w:r>
        <w:rPr>
          <w:rFonts w:ascii="Times New Roman" w:hAnsi="Times New Roman"/>
          <w:sz w:val="32"/>
          <w:szCs w:val="32"/>
        </w:rPr>
        <w:t>”</w:t>
      </w:r>
      <w:r>
        <w:rPr>
          <w:rFonts w:ascii="Times New Roman" w:hAnsi="Times New Roman"/>
          <w:sz w:val="32"/>
          <w:szCs w:val="32"/>
          <w:lang w:val="en-US"/>
        </w:rPr>
        <w:t xml:space="preserve">. American Economic Review, forthcoming. At first glance overreactions to news seems inconsistent with EE? </w:t>
      </w:r>
      <w:r>
        <w:rPr>
          <w:rFonts w:eastAsia="Times New Roman" w:cs="Times New Roman" w:ascii="Times New Roman" w:hAnsi="Times New Roman"/>
          <w:sz w:val="32"/>
          <w:szCs w:val="32"/>
        </w:rPr>
        <w:br/>
        <w:br/>
      </w:r>
      <w:r>
        <w:rPr>
          <w:rFonts w:ascii="Times New Roman" w:hAnsi="Times New Roman"/>
          <w:outline w:val="false"/>
          <w:color w:val="ED220B"/>
          <w:sz w:val="32"/>
          <w:szCs w:val="32"/>
          <w:lang w:val="en-US"/>
          <w14:textFill>
            <w14:solidFill>
              <w14:srgbClr w14:val="EE220C"/>
            </w14:solidFill>
          </w14:textFill>
        </w:rPr>
        <w:t xml:space="preserve">We cite the paper </w:t>
      </w:r>
      <w:r>
        <w:rPr>
          <w:rFonts w:ascii="Times New Roman" w:hAnsi="Times New Roman"/>
          <w:i/>
          <w:iCs/>
          <w:outline w:val="false"/>
          <w:color w:val="ED220B"/>
          <w:sz w:val="32"/>
          <w:szCs w:val="32"/>
          <w:lang w:val="fr-FR"/>
          <w14:textFill>
            <w14:solidFill>
              <w14:srgbClr w14:val="EE220C"/>
            </w14:solidFill>
          </w14:textFill>
        </w:rPr>
        <w:t xml:space="preserve">Sectoral </w:t>
      </w:r>
      <w:r>
        <w:rPr>
          <w:rFonts w:ascii="Times New Roman" w:hAnsi="Times New Roman"/>
          <w:i/>
          <w:iCs/>
          <w:outline w:val="false"/>
          <w:color w:val="ED220B"/>
          <w:sz w:val="32"/>
          <w:szCs w:val="32"/>
          <w:lang w:val="en-US"/>
          <w14:textFill>
            <w14:solidFill>
              <w14:srgbClr w14:val="EE220C"/>
            </w14:solidFill>
          </w14:textFill>
        </w:rPr>
        <w:t>M</w:t>
      </w:r>
      <w:r>
        <w:rPr>
          <w:rFonts w:ascii="Times New Roman" w:hAnsi="Times New Roman"/>
          <w:i/>
          <w:iCs/>
          <w:outline w:val="false"/>
          <w:color w:val="ED220B"/>
          <w:sz w:val="32"/>
          <w:szCs w:val="32"/>
          <w14:textFill>
            <w14:solidFill>
              <w14:srgbClr w14:val="EE220C"/>
            </w14:solidFill>
          </w14:textFill>
        </w:rPr>
        <w:t xml:space="preserve">edia </w:t>
      </w:r>
      <w:r>
        <w:rPr>
          <w:rFonts w:ascii="Times New Roman" w:hAnsi="Times New Roman"/>
          <w:i/>
          <w:iCs/>
          <w:outline w:val="false"/>
          <w:color w:val="ED220B"/>
          <w:sz w:val="32"/>
          <w:szCs w:val="32"/>
          <w:lang w:val="en-US"/>
          <w14:textFill>
            <w14:solidFill>
              <w14:srgbClr w14:val="EE220C"/>
            </w14:solidFill>
          </w14:textFill>
        </w:rPr>
        <w:t>Focus and A</w:t>
      </w:r>
      <w:r>
        <w:rPr>
          <w:rFonts w:ascii="Times New Roman" w:hAnsi="Times New Roman"/>
          <w:i/>
          <w:iCs/>
          <w:outline w:val="false"/>
          <w:color w:val="ED220B"/>
          <w:sz w:val="32"/>
          <w:szCs w:val="32"/>
          <w:lang w:val="it-IT"/>
          <w14:textFill>
            <w14:solidFill>
              <w14:srgbClr w14:val="EE220C"/>
            </w14:solidFill>
          </w14:textFill>
        </w:rPr>
        <w:t xml:space="preserve">ggregate </w:t>
      </w:r>
      <w:r>
        <w:rPr>
          <w:rFonts w:ascii="Times New Roman" w:hAnsi="Times New Roman"/>
          <w:i/>
          <w:iCs/>
          <w:outline w:val="false"/>
          <w:color w:val="ED220B"/>
          <w:sz w:val="32"/>
          <w:szCs w:val="32"/>
          <w:lang w:val="en-US"/>
          <w14:textFill>
            <w14:solidFill>
              <w14:srgbClr w14:val="EE220C"/>
            </w14:solidFill>
          </w14:textFill>
        </w:rPr>
        <w:t xml:space="preserve">Fluctuations </w:t>
      </w:r>
      <w:r>
        <w:rPr>
          <w:rFonts w:ascii="Times New Roman" w:hAnsi="Times New Roman"/>
          <w:outline w:val="false"/>
          <w:color w:val="ED220B"/>
          <w:sz w:val="32"/>
          <w:szCs w:val="32"/>
          <w:lang w:val="en-US"/>
          <w14:textFill>
            <w14:solidFill>
              <w14:srgbClr w14:val="EE220C"/>
            </w14:solidFill>
          </w14:textFill>
        </w:rPr>
        <w:t xml:space="preserve">in the Section 1.4.4.4, as an example providing evidence that news media causes business cycle fluctuations. </w:t>
      </w:r>
      <w:r>
        <w:rPr>
          <w:rFonts w:eastAsia="Times New Roman" w:cs="Times New Roman" w:ascii="Times New Roman" w:hAnsi="Times New Roman"/>
          <w:outline w:val="false"/>
          <w:color w:val="ED220B"/>
          <w:sz w:val="32"/>
          <w:szCs w:val="32"/>
          <w14:textFill>
            <w14:solidFill>
              <w14:srgbClr w14:val="EE220C"/>
            </w14:solidFill>
          </w14:textFill>
        </w:rPr>
        <w:br/>
        <w:br/>
      </w:r>
      <w:r>
        <w:rPr>
          <w:rFonts w:ascii="Times New Roman" w:hAnsi="Times New Roman"/>
          <w:outline w:val="false"/>
          <w:color w:val="ED220B"/>
          <w:sz w:val="32"/>
          <w:szCs w:val="32"/>
          <w:lang w:val="en-US"/>
          <w14:textFill>
            <w14:solidFill>
              <w14:srgbClr w14:val="EE220C"/>
            </w14:solidFill>
          </w14:textFill>
        </w:rPr>
        <w:t xml:space="preserve">We cite the paper </w:t>
      </w:r>
      <w:r>
        <w:rPr>
          <w:rFonts w:ascii="Times New Roman" w:hAnsi="Times New Roman"/>
          <w:i/>
          <w:iCs/>
          <w:outline w:val="false"/>
          <w:color w:val="ED220B"/>
          <w:sz w:val="32"/>
          <w:szCs w:val="32"/>
          <w:lang w:val="en-US"/>
          <w14:textFill>
            <w14:solidFill>
              <w14:srgbClr w14:val="EE220C"/>
            </w14:solidFill>
          </w14:textFill>
        </w:rPr>
        <w:t>Asymmetric Attention</w:t>
      </w:r>
      <w:r>
        <w:rPr>
          <w:rFonts w:ascii="Times New Roman" w:hAnsi="Times New Roman"/>
          <w:outline w:val="false"/>
          <w:color w:val="ED220B"/>
          <w:sz w:val="32"/>
          <w:szCs w:val="32"/>
          <w:lang w:val="en-US"/>
          <w14:textFill>
            <w14:solidFill>
              <w14:srgbClr w14:val="EE220C"/>
            </w14:solidFill>
          </w14:textFill>
        </w:rPr>
        <w:t>, in Section 1.4.6, in making a comparison between economists</w:t>
      </w:r>
      <w:r>
        <w:rPr>
          <w:rFonts w:ascii="Times New Roman" w:hAnsi="Times New Roman"/>
          <w:outline w:val="false"/>
          <w:color w:val="ED220B"/>
          <w:sz w:val="32"/>
          <w:szCs w:val="32"/>
          <w14:textFill>
            <w14:solidFill>
              <w14:srgbClr w14:val="EE220C"/>
            </w14:solidFill>
          </w14:textFill>
        </w:rPr>
        <w:t>’</w:t>
      </w:r>
      <w:r>
        <w:rPr>
          <w:rFonts w:ascii="Times New Roman" w:hAnsi="Times New Roman"/>
          <w:outline w:val="false"/>
          <w:color w:val="ED220B"/>
          <w:sz w:val="32"/>
          <w:szCs w:val="32"/>
          <w:lang w:val="en-US"/>
          <w14:textFill>
            <w14:solidFill>
              <w14:srgbClr w14:val="EE220C"/>
            </w14:solidFill>
          </w14:textFill>
        </w:rPr>
        <w:t xml:space="preserve"> theories on how surprises generate overreaction, and the non-economic studies that show certain content leads to stronger emotional arousal and is therefore more infectious </w:t>
      </w:r>
      <w:r>
        <w:rPr>
          <w:rFonts w:ascii="Times New Roman" w:hAnsi="Times New Roman"/>
          <w:outline w:val="false"/>
          <w:color w:val="ED220B"/>
          <w:sz w:val="32"/>
          <w:szCs w:val="32"/>
          <w:lang w:val="en-US"/>
          <w14:textFill>
            <w14:solidFill>
              <w14:srgbClr w14:val="EE220C"/>
            </w14:solidFill>
          </w14:textFill>
        </w:rPr>
        <w:t>(which could lead to overreaction).</w:t>
      </w:r>
      <w:r>
        <w:rPr>
          <w:rFonts w:eastAsia="Times New Roman" w:cs="Times New Roman" w:ascii="Times New Roman" w:hAnsi="Times New Roman"/>
          <w:sz w:val="32"/>
          <w:szCs w:val="32"/>
        </w:rPr>
        <w:br/>
      </w:r>
    </w:p>
    <w:sectPr>
      <w:headerReference w:type="default" r:id="rId3"/>
      <w:footerReference w:type="default" r:id="rId4"/>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Times Roman">
    <w:altName w:val="Times New Roman"/>
    <w:charset w:val="01"/>
    <w:family w:val="roman"/>
    <w:pitch w:val="variable"/>
  </w:font>
  <w:font w:name="Symbol">
    <w:charset w:val="02"/>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262" w:hanging="262"/>
      </w:pPr>
      <w:rPr>
        <w:rFonts w:ascii="Symbol" w:hAnsi="Symbol" w:cs="Symbol" w:hint="default"/>
        <w:smallCaps w:val="false"/>
        <w:caps w:val="false"/>
        <w:outline w:val="false"/>
        <w:dstrike w:val="false"/>
        <w:strike w:val="false"/>
        <w:vertAlign w:val="baseline"/>
        <w:position w:val="0"/>
        <w:sz w:val="20"/>
        <w:sz w:val="20"/>
        <w:spacing w:val="0"/>
        <w:kern w:val="0"/>
        <w:w w:val="100"/>
        <w:emboss w:val="false"/>
        <w:imprint w:val="false"/>
      </w:rPr>
    </w:lvl>
    <w:lvl w:ilvl="1">
      <w:start w:val="1"/>
      <w:numFmt w:val="bullet"/>
      <w:lvlText w:val="•"/>
      <w:lvlJc w:val="left"/>
      <w:pPr>
        <w:tabs>
          <w:tab w:val="num" w:pos="0"/>
        </w:tabs>
        <w:ind w:left="144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2">
      <w:start w:val="1"/>
      <w:numFmt w:val="bullet"/>
      <w:lvlText w:val="•"/>
      <w:lvlJc w:val="left"/>
      <w:pPr>
        <w:tabs>
          <w:tab w:val="num" w:pos="0"/>
        </w:tabs>
        <w:ind w:left="216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3">
      <w:start w:val="1"/>
      <w:numFmt w:val="bullet"/>
      <w:lvlText w:val="•"/>
      <w:lvlJc w:val="left"/>
      <w:pPr>
        <w:tabs>
          <w:tab w:val="num" w:pos="0"/>
        </w:tabs>
        <w:ind w:left="288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4">
      <w:start w:val="1"/>
      <w:numFmt w:val="bullet"/>
      <w:lvlText w:val="•"/>
      <w:lvlJc w:val="left"/>
      <w:pPr>
        <w:tabs>
          <w:tab w:val="num" w:pos="0"/>
        </w:tabs>
        <w:ind w:left="360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5">
      <w:start w:val="1"/>
      <w:numFmt w:val="bullet"/>
      <w:lvlText w:val="•"/>
      <w:lvlJc w:val="left"/>
      <w:pPr>
        <w:tabs>
          <w:tab w:val="num" w:pos="0"/>
        </w:tabs>
        <w:ind w:left="432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6">
      <w:start w:val="1"/>
      <w:numFmt w:val="bullet"/>
      <w:lvlText w:val="•"/>
      <w:lvlJc w:val="left"/>
      <w:pPr>
        <w:tabs>
          <w:tab w:val="num" w:pos="0"/>
        </w:tabs>
        <w:ind w:left="504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7">
      <w:start w:val="1"/>
      <w:numFmt w:val="bullet"/>
      <w:lvlText w:val="•"/>
      <w:lvlJc w:val="left"/>
      <w:pPr>
        <w:tabs>
          <w:tab w:val="num" w:pos="0"/>
        </w:tabs>
        <w:ind w:left="576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lvl w:ilvl="8">
      <w:start w:val="1"/>
      <w:numFmt w:val="bullet"/>
      <w:lvlText w:val="•"/>
      <w:lvlJc w:val="left"/>
      <w:pPr>
        <w:tabs>
          <w:tab w:val="num" w:pos="0"/>
        </w:tabs>
        <w:ind w:left="6480" w:hanging="500"/>
      </w:pPr>
      <w:rPr>
        <w:rFonts w:ascii="Times New Roman" w:hAnsi="Times New Roman" w:cs="Times New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numbering" w:styleId="Bullet0">
    <w:name w:val="Bullet.0"/>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yorkfed.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134</TotalTime>
  <Application>LibreOffice/7.1.7.2$MacOSX_X86_64 LibreOffice_project/c6a4e3954236145e2acb0b65f68614365aeee33f</Application>
  <AppVersion>15.0000</AppVersion>
  <Pages>6</Pages>
  <Words>1631</Words>
  <Characters>8623</Characters>
  <CharactersWithSpaces>10286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Christopher Carroll</cp:lastModifiedBy>
  <dcterms:modified xsi:type="dcterms:W3CDTF">2022-02-03T17:09:02Z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