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2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numPr>
          <w:ilvl w:val="0"/>
          <w:numId w:val="1001"/>
        </w:numPr>
        <w:pStyle w:val="Compact"/>
      </w:pPr>
      <w:r>
        <w:t xml:space="preserve">Buy-Now-Pay-Later (BNPL) has grown rapidly, with</w:t>
      </w:r>
      <w:r>
        <w:t xml:space="preserve"> </w:t>
      </w:r>
      <w:r>
        <w:rPr>
          <w:bCs/>
          <w:b/>
        </w:rPr>
        <w:t xml:space="preserve">86.5 million</w:t>
      </w:r>
      <w:r>
        <w:t xml:space="preserve"> </w:t>
      </w:r>
      <w:r>
        <w:t xml:space="preserve">U.S. users in 2024</w:t>
      </w:r>
    </w:p>
    <w:p>
      <w:pPr>
        <w:numPr>
          <w:ilvl w:val="0"/>
          <w:numId w:val="1001"/>
        </w:numPr>
        <w:pStyle w:val="Compact"/>
      </w:pPr>
      <w:r>
        <w:t xml:space="preserve">The sector processed over</w:t>
      </w:r>
      <w:r>
        <w:t xml:space="preserve"> </w:t>
      </w:r>
      <w:r>
        <w:rPr>
          <w:bCs/>
          <w:b/>
        </w:rPr>
        <w:t xml:space="preserve">277 million loans</w:t>
      </w:r>
      <w:r>
        <w:t xml:space="preserve"> </w:t>
      </w:r>
      <w:r>
        <w:t xml:space="preserve">worth</w:t>
      </w:r>
      <w:r>
        <w:t xml:space="preserve"> </w:t>
      </w:r>
      <w:r>
        <w:rPr>
          <w:bCs/>
          <w:b/>
        </w:rPr>
        <w:t xml:space="preserve">$34 billion</w:t>
      </w:r>
      <w:r>
        <w:t xml:space="preserve"> </w:t>
      </w:r>
      <w:r>
        <w:t xml:space="preserve">in 2022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61%</w:t>
      </w:r>
      <w:r>
        <w:t xml:space="preserve"> </w:t>
      </w:r>
      <w:r>
        <w:t xml:space="preserve">of BNPL users are subprime or deep subprime</w:t>
      </w:r>
    </w:p>
    <w:p>
      <w:pPr>
        <w:numPr>
          <w:ilvl w:val="0"/>
          <w:numId w:val="1001"/>
        </w:numPr>
        <w:pStyle w:val="Compact"/>
      </w:pPr>
      <w:r>
        <w:t xml:space="preserve">BNPL firms operate with thin margins (~4% of GMV)</w:t>
      </w:r>
    </w:p>
    <w:p>
      <w:pPr>
        <w:numPr>
          <w:ilvl w:val="0"/>
          <w:numId w:val="1001"/>
        </w:numPr>
        <w:pStyle w:val="Compact"/>
      </w:pPr>
      <w:r>
        <w:t xml:space="preserve">This creates vulnerability to interest rate changes</w:t>
      </w:r>
    </w:p>
    <w:p>
      <w:pPr>
        <w:numPr>
          <w:ilvl w:val="0"/>
          <w:numId w:val="1002"/>
        </w:numPr>
        <w:pStyle w:val="Compact"/>
      </w:pPr>
      <w:r>
        <w:t xml:space="preserve">The BNPL sector presents a fundamental puzzle in financial economics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Question:</w:t>
      </w:r>
      <w:r>
        <w:t xml:space="preserve"> </w:t>
      </w:r>
      <w:r>
        <w:t xml:space="preserve">Why did valuations collapse so dramatically during a period when these companies were still growing?</w:t>
      </w:r>
    </w:p>
    <w:p>
      <w:pPr>
        <w:numPr>
          <w:ilvl w:val="0"/>
          <w:numId w:val="1002"/>
        </w:numPr>
        <w:pStyle w:val="Compact"/>
      </w:pPr>
      <w:r>
        <w:t xml:space="preserve">Despite massive GMV growth (2019-2021), Klarna's valuation fell ~70% from peak to IPO</w:t>
      </w:r>
    </w:p>
    <w:p>
      <w:pPr>
        <w:pStyle w:val="SourceCode"/>
      </w:pP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Research Focus:</w:t>
      </w:r>
      <w:r>
        <w:t xml:space="preserve"> </w:t>
      </w:r>
      <w:r>
        <w:t xml:space="preserve">How do BNPL firms' stock returns respond to changes in monetary policy?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Key Question:</w:t>
      </w:r>
      <w:r>
        <w:t xml:space="preserve"> </w:t>
      </w:r>
      <w:r>
        <w:t xml:space="preserve">Are Buy-Now-Pay-Later companies disproportionately vulnerable to interest rate increases given their reliance on short-term funding and razor-thin profit margins?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Sample Period:</w:t>
      </w:r>
      <w:r>
        <w:t xml:space="preserve"> </w:t>
      </w:r>
      <w:r>
        <w:t xml:space="preserve">February 2020 to August 2025 (67 monthly observations)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User Growth:</w:t>
      </w:r>
      <w:r>
        <w:t xml:space="preserve"> </w:t>
      </w:r>
      <w:r>
        <w:t xml:space="preserve">BNPL adoption grew from</w:t>
      </w:r>
      <w:r>
        <w:t xml:space="preserve"> </w:t>
      </w:r>
      <w:r>
        <w:rPr>
          <w:bCs/>
          <w:b/>
        </w:rPr>
        <w:t xml:space="preserve">86.5 million</w:t>
      </w:r>
      <w:r>
        <w:t xml:space="preserve"> </w:t>
      </w:r>
      <w:r>
        <w:t xml:space="preserve">U.S. users in 2024 to projected</w:t>
      </w:r>
      <w:r>
        <w:t xml:space="preserve"> </w:t>
      </w:r>
      <w:r>
        <w:rPr>
          <w:bCs/>
          <w:b/>
        </w:rPr>
        <w:t xml:space="preserve">91.5 million</w:t>
      </w:r>
      <w:r>
        <w:t xml:space="preserve"> </w:t>
      </w:r>
      <w:r>
        <w:t xml:space="preserve">in 2025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Market Scale:</w:t>
      </w:r>
      <w:r>
        <w:t xml:space="preserve"> </w:t>
      </w:r>
      <w:r>
        <w:t xml:space="preserve">The sector processed over</w:t>
      </w:r>
      <w:r>
        <w:t xml:space="preserve"> </w:t>
      </w:r>
      <w:r>
        <w:rPr>
          <w:bCs/>
          <w:b/>
        </w:rPr>
        <w:t xml:space="preserve">277 million loans</w:t>
      </w:r>
      <w:r>
        <w:t xml:space="preserve"> </w:t>
      </w:r>
      <w:r>
        <w:t xml:space="preserve">worth approximately</w:t>
      </w:r>
      <w:r>
        <w:t xml:space="preserve"> </w:t>
      </w:r>
      <w:r>
        <w:rPr>
          <w:bCs/>
          <w:b/>
        </w:rPr>
        <w:t xml:space="preserve">$34 billion</w:t>
      </w:r>
      <w:r>
        <w:t xml:space="preserve"> </w:t>
      </w:r>
      <w:r>
        <w:t xml:space="preserve">in 2022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Risk Profile:</w:t>
      </w:r>
      <w:r>
        <w:t xml:space="preserve"> </w:t>
      </w:r>
      <w:r>
        <w:t xml:space="preserve">Approximately</w:t>
      </w:r>
      <w:r>
        <w:t xml:space="preserve"> </w:t>
      </w:r>
      <w:r>
        <w:rPr>
          <w:bCs/>
          <w:b/>
        </w:rPr>
        <w:t xml:space="preserve">61%</w:t>
      </w:r>
      <w:r>
        <w:t xml:space="preserve"> </w:t>
      </w:r>
      <w:r>
        <w:t xml:space="preserve">of BNPL users fall into subprime or deep subprime credit categories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Thin Margins:</w:t>
      </w:r>
      <w:r>
        <w:t xml:space="preserve"> </w:t>
      </w:r>
      <w:r>
        <w:t xml:space="preserve">BNPL firms operate with provider revenues of only about</w:t>
      </w:r>
      <w:r>
        <w:t xml:space="preserve"> </w:t>
      </w:r>
      <w:r>
        <w:rPr>
          <w:bCs/>
          <w:b/>
        </w:rPr>
        <w:t xml:space="preserve">4%</w:t>
      </w:r>
      <w:r>
        <w:t xml:space="preserve"> </w:t>
      </w:r>
      <w:r>
        <w:t xml:space="preserve">of gross merchandise volume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Create summary statistics table</w:t>
      </w:r>
      <w:r>
        <w:br/>
      </w:r>
      <w:r>
        <w:rPr>
          <w:rStyle w:val="NormalTok"/>
        </w:rPr>
        <w:t xml:space="preserve">summary_data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'Metric'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'U.S. Users (2024)'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'Projected Users (2025)'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'Loans Processed (2022)'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 Volume (2022)'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'Subprime/Deep Subprime Users'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'Provider Revenue Margin'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'86.5 million'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'91.5 million'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'277 million'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'$34 billion'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'61%'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'~4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GMV'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summary_df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pd.DataFrame(summary_data)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(summary_df.to_string(index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                    Metric        Value</w:t>
      </w:r>
      <w:r>
        <w:br/>
      </w:r>
      <w:r>
        <w:rPr>
          <w:rStyle w:val="VerbatimChar"/>
        </w:rPr>
        <w:t xml:space="preserve">           U.S. Users (2024) 86.5 million</w:t>
      </w:r>
      <w:r>
        <w:br/>
      </w:r>
      <w:r>
        <w:rPr>
          <w:rStyle w:val="VerbatimChar"/>
        </w:rPr>
        <w:t xml:space="preserve">      Projected Users (2025) 91.5 million</w:t>
      </w:r>
      <w:r>
        <w:br/>
      </w:r>
      <w:r>
        <w:rPr>
          <w:rStyle w:val="VerbatimChar"/>
        </w:rPr>
        <w:t xml:space="preserve">      Loans Processed (2022)  277 million</w:t>
      </w:r>
      <w:r>
        <w:br/>
      </w:r>
      <w:r>
        <w:rPr>
          <w:rStyle w:val="VerbatimChar"/>
        </w:rPr>
        <w:t xml:space="preserve">         Total Volume (2022)  $34 billion</w:t>
      </w:r>
      <w:r>
        <w:br/>
      </w:r>
      <w:r>
        <w:rPr>
          <w:rStyle w:val="VerbatimChar"/>
        </w:rPr>
        <w:t xml:space="preserve">Subprime/Deep Subprime Users          61%</w:t>
      </w:r>
      <w:r>
        <w:br/>
      </w:r>
      <w:r>
        <w:rPr>
          <w:rStyle w:val="VerbatimChar"/>
        </w:rPr>
        <w:t xml:space="preserve">     Provider Revenue Margin   ~4% of GMV</w:t>
      </w:r>
    </w:p>
    <w:p>
      <w:pPr>
        <w:numPr>
          <w:ilvl w:val="0"/>
          <w:numId w:val="1005"/>
        </w:numPr>
        <w:pStyle w:val="Compact"/>
      </w:pPr>
      <w:r>
        <w:t xml:space="preserve">Most BNPL firms rely on three primary funding mechanisms:</w:t>
      </w:r>
    </w:p>
    <w:p>
      <w:pPr>
        <w:numPr>
          <w:ilvl w:val="1"/>
          <w:numId w:val="1006"/>
        </w:numPr>
        <w:pStyle w:val="Compact"/>
      </w:pPr>
      <w:r>
        <w:t xml:space="preserve">Warehouse lines of credit</w:t>
      </w:r>
    </w:p>
    <w:p>
      <w:pPr>
        <w:numPr>
          <w:ilvl w:val="1"/>
          <w:numId w:val="1006"/>
        </w:numPr>
        <w:pStyle w:val="Compact"/>
      </w:pPr>
      <w:r>
        <w:t xml:space="preserve">Commercial paper markets</w:t>
      </w:r>
    </w:p>
    <w:p>
      <w:pPr>
        <w:numPr>
          <w:ilvl w:val="1"/>
          <w:numId w:val="1006"/>
        </w:numPr>
        <w:pStyle w:val="Compact"/>
      </w:pPr>
      <w:r>
        <w:t xml:space="preserve">Securitization</w:t>
      </w:r>
    </w:p>
    <w:p>
      <w:pPr>
        <w:numPr>
          <w:ilvl w:val="0"/>
          <w:numId w:val="1005"/>
        </w:numPr>
        <w:pStyle w:val="Compact"/>
      </w:pPr>
      <w:r>
        <w:t xml:space="preserve">All three are directly influenced by the Federal Funds Rate</w:t>
      </w:r>
    </w:p>
    <w:p>
      <w:pPr>
        <w:numPr>
          <w:ilvl w:val="0"/>
          <w:numId w:val="1005"/>
        </w:numPr>
        <w:pStyle w:val="Compact"/>
      </w:pPr>
      <w:r>
        <w:t xml:space="preserve">Traditional financial institution models focus on deposit bases and diversified revenue streams</w:t>
      </w:r>
    </w:p>
    <w:p>
      <w:pPr>
        <w:numPr>
          <w:ilvl w:val="0"/>
          <w:numId w:val="1005"/>
        </w:numPr>
        <w:pStyle w:val="Compact"/>
      </w:pPr>
      <w:r>
        <w:t xml:space="preserve">None of these apply to BNPL firms, suggesting fundamentally different sensitivity to interest rates</w:t>
      </w:r>
    </w:p>
    <w:p>
      <w:pPr>
        <w:pStyle w:val="FirstParagraph"/>
      </w:pPr>
      <w:r>
        <w:rPr>
          <w:bCs/>
          <w:b/>
        </w:rPr>
        <w:t xml:space="preserve">Direct Channel: Funding Costs</w:t>
      </w:r>
    </w:p>
    <w:p>
      <w:pPr>
        <w:numPr>
          <w:ilvl w:val="0"/>
          <w:numId w:val="1007"/>
        </w:numPr>
        <w:pStyle w:val="Compact"/>
      </w:pPr>
      <w:r>
        <w:t xml:space="preserve">When Fed Funds Rate increases by</w:t>
      </w:r>
      <w:r>
        <w:t xml:space="preserve"> </w:t>
      </w:r>
      <w:r>
        <w:rPr>
          <w:bCs/>
          <w:b/>
        </w:rPr>
        <w:t xml:space="preserve">1 percentage point</w:t>
      </w:r>
    </w:p>
    <w:p>
      <w:pPr>
        <w:numPr>
          <w:ilvl w:val="0"/>
          <w:numId w:val="1007"/>
        </w:numPr>
        <w:pStyle w:val="Compact"/>
      </w:pPr>
      <w:r>
        <w:t xml:space="preserve">Warehouse line costs increase by approximately the same amount</w:t>
      </w:r>
    </w:p>
    <w:p>
      <w:pPr>
        <w:numPr>
          <w:ilvl w:val="0"/>
          <w:numId w:val="1007"/>
        </w:numPr>
        <w:pStyle w:val="Compact"/>
      </w:pPr>
      <w:r>
        <w:t xml:space="preserve">Commercial paper rates increase correspondingly</w:t>
      </w:r>
    </w:p>
    <w:p>
      <w:pPr>
        <w:numPr>
          <w:ilvl w:val="0"/>
          <w:numId w:val="1007"/>
        </w:numPr>
        <w:pStyle w:val="Compact"/>
      </w:pPr>
      <w:r>
        <w:t xml:space="preserve">This directly compresses already-thin profit margins</w:t>
      </w:r>
    </w:p>
    <w:p>
      <w:pPr>
        <w:pStyle w:val="FirstParagraph"/>
      </w:pPr>
      <w:r>
        <w:rPr>
          <w:bCs/>
          <w:b/>
        </w:rPr>
        <w:t xml:space="preserve">Indirect Channels: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Consumer Demand:</w:t>
      </w:r>
      <w:r>
        <w:t xml:space="preserve"> </w:t>
      </w:r>
      <w:r>
        <w:t xml:space="preserve">Higher rates reduce purchasing power, fewer transactions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Credit Market Conditions:</w:t>
      </w:r>
      <w:r>
        <w:t xml:space="preserve"> </w:t>
      </w:r>
      <w:r>
        <w:t xml:space="preserve">Higher rates tighten credit availability for subprime users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Empirical Approach:</w:t>
      </w:r>
      <w:r>
        <w:t xml:space="preserve"> </w:t>
      </w:r>
      <w:r>
        <w:t xml:space="preserve">Multi-factor regression framework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Dependent Variable:</w:t>
      </w:r>
      <w:r>
        <w:t xml:space="preserve"> </w:t>
      </w:r>
      <w:r>
        <w:t xml:space="preserve">Log-transformed monthly BNPL stock returns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Sample Period:</w:t>
      </w:r>
      <w:r>
        <w:t xml:space="preserve"> </w:t>
      </w:r>
      <w:r>
        <w:t xml:space="preserve">February 2020 to August 2025 (</w:t>
      </w:r>
      <w:r>
        <w:rPr>
          <w:bCs/>
          <w:b/>
        </w:rPr>
        <w:t xml:space="preserve">67 monthly observations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BNPL Firms:</w:t>
      </w:r>
      <w:r>
        <w:t xml:space="preserve"> </w:t>
      </w:r>
      <w:r>
        <w:t xml:space="preserve">PayPal, Affirm, Sezzle, Block/Afterpay, Klarna (representing ~95% of U.S. market share)</w:t>
      </w:r>
    </w:p>
    <w:p>
      <w:pPr>
        <w:pStyle w:val="FirstParagraph"/>
      </w:pPr>
      <w:r>
        <w:rPr>
          <w:bCs/>
          <w:b/>
        </w:rPr>
        <w:t xml:space="preserve">Base Model:</w:t>
      </w:r>
      <w:r>
        <w:t xml:space="preserve"> </w:t>
      </w:r>
      <w:r>
        <w:t xml:space="preserve">log(BNPL_Return</w:t>
      </w:r>
      <w:r>
        <w:t xml:space="preserve">t</w:t>
      </w:r>
      <w:r>
        <w:t xml:space="preserve">) = β₀ + β₁(∆Federal_Funds_Rate</w:t>
      </w:r>
      <w:r>
        <w:t xml:space="preserve">t</w:t>
      </w:r>
      <w:r>
        <w:t xml:space="preserve">) + ε</w:t>
      </w:r>
      <w:r>
        <w:t xml:space="preserve">t</w:t>
      </w:r>
    </w:p>
    <w:p>
      <w:pPr>
        <w:pStyle w:val="BodyText"/>
      </w:pPr>
      <w:r>
        <w:rPr>
          <w:bCs/>
          <w:b/>
        </w:rPr>
        <w:t xml:space="preserve">Full Model:</w:t>
      </w:r>
      <w:r>
        <w:t xml:space="preserve"> </w:t>
      </w:r>
      <w:r>
        <w:t xml:space="preserve">log(BNPL_Return</w:t>
      </w:r>
      <w:r>
        <w:t xml:space="preserve">t</w:t>
      </w:r>
      <w:r>
        <w:t xml:space="preserve">) = β₀ + β₁(∆Fed_Funds_Rate</w:t>
      </w:r>
      <w:r>
        <w:t xml:space="preserve">t</w:t>
      </w:r>
      <w:r>
        <w:t xml:space="preserve">) + β₂(∆Consumer_Confidence</w:t>
      </w:r>
      <w:r>
        <w:t xml:space="preserve">t</w:t>
      </w:r>
      <w:r>
        <w:t xml:space="preserve">) + β₃(∆Disposable_Income</w:t>
      </w:r>
      <w:r>
        <w:t xml:space="preserve">t</w:t>
      </w:r>
      <w:r>
        <w:t xml:space="preserve">) + β₄(∆Inflation</w:t>
      </w:r>
      <w:r>
        <w:t xml:space="preserve">t</w:t>
      </w:r>
      <w:r>
        <w:t xml:space="preserve">) + β₅(Market_Return</w:t>
      </w:r>
      <w:r>
        <w:t xml:space="preserve">t</w:t>
      </w:r>
      <w:r>
        <w:t xml:space="preserve">) + ε</w:t>
      </w:r>
      <w:r>
        <w:t xml:space="preserve">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Interest Rate Coefficient:</w:t>
      </w:r>
      <w:r>
        <w:t xml:space="preserve"> </w:t>
      </w:r>
      <w:r>
        <w:t xml:space="preserve">β = -12.51 (SE: 13.27, p-value: 0.346)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R²:</w:t>
      </w:r>
      <w:r>
        <w:t xml:space="preserve"> </w:t>
      </w:r>
      <w:r>
        <w:t xml:space="preserve">2.24% (only 2.24% of variation explained)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The coefficient magnitude of -12.51 is economically substantial even though not statistically significant</w:t>
      </w:r>
    </w:p>
    <w:p>
      <w:pPr>
        <w:numPr>
          <w:ilvl w:val="0"/>
          <w:numId w:val="1010"/>
        </w:numPr>
        <w:pStyle w:val="Compact"/>
      </w:pPr>
      <w:r>
        <w:t xml:space="preserve">This suggests genuine effect that may be obscured by small sample size and high volatility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R² improved from 2.24% to 50.98%</w:t>
      </w:r>
    </w:p>
    <w:p>
      <w:pPr>
        <w:numPr>
          <w:ilvl w:val="0"/>
          <w:numId w:val="1011"/>
        </w:numPr>
        <w:pStyle w:val="Compact"/>
      </w:pPr>
      <w:r>
        <w:t xml:space="preserve">A 2,179% increase in explanatory power!</w:t>
      </w:r>
    </w:p>
    <w:p>
      <w:pPr>
        <w:numPr>
          <w:ilvl w:val="0"/>
          <w:numId w:val="1011"/>
        </w:numPr>
        <w:pStyle w:val="Compact"/>
      </w:pPr>
      <w:r>
        <w:t xml:space="preserve">Adding control variables dramatically improves model fit</w:t>
      </w:r>
    </w:p>
    <w:p>
      <w:pPr>
        <w:numPr>
          <w:ilvl w:val="0"/>
          <w:numId w:val="1011"/>
        </w:numPr>
        <w:pStyle w:val="Compact"/>
      </w:pPr>
      <w:r>
        <w:t xml:space="preserve">Interest rate coefficient remains stable: β = -12.68 (SE: 9.95, p-value: 0.202)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Load regression results</w:t>
      </w:r>
      <w:r>
        <w:br/>
      </w:r>
      <w:r>
        <w:rPr>
          <w:rStyle w:val="NormalTok"/>
        </w:rPr>
        <w:t xml:space="preserve">results_path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'../Paper_YM/regression_results_table.csv'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os.path.exists(results_path):</w:t>
      </w:r>
      <w:r>
        <w:br/>
      </w:r>
      <w:r>
        <w:rPr>
          <w:rStyle w:val="NormalTok"/>
        </w:rPr>
        <w:t xml:space="preserve">    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pd.read_csv(results_path)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Format for display</w:t>
      </w:r>
      <w:r>
        <w:br/>
      </w:r>
      <w:r>
        <w:rPr>
          <w:rStyle w:val="NormalTok"/>
        </w:rPr>
        <w:t xml:space="preserve">    display_df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 Error'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'p-value'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]].copy()</w:t>
      </w:r>
      <w:r>
        <w:br/>
      </w:r>
      <w:r>
        <w:rPr>
          <w:rStyle w:val="NormalTok"/>
        </w:rPr>
        <w:t xml:space="preserve">    display_df[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display_df[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display_df[</w:t>
      </w:r>
      <w:r>
        <w:rPr>
          <w:rStyle w:val="StringTok"/>
        </w:rPr>
        <w:t xml:space="preserve">'Std Error'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display_df[</w:t>
      </w:r>
      <w:r>
        <w:rPr>
          <w:rStyle w:val="StringTok"/>
        </w:rPr>
        <w:t xml:space="preserve">'Std Error'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display_df[</w:t>
      </w:r>
      <w:r>
        <w:rPr>
          <w:rStyle w:val="StringTok"/>
        </w:rPr>
        <w:t xml:space="preserve">'p-value'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display_df[</w:t>
      </w:r>
      <w:r>
        <w:rPr>
          <w:rStyle w:val="StringTok"/>
        </w:rPr>
        <w:t xml:space="preserve">'p-value'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display_df[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(display_df[</w:t>
      </w:r>
      <w:r>
        <w:rPr>
          <w:rStyle w:val="StringTok"/>
        </w:rPr>
        <w:t xml:space="preserve">'R²'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(display_df.to_string(index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 file not found. Please ensure regression_results_table.csv exists."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        Model  Coefficient  Std Error  p-value     R²  N</w:t>
      </w:r>
      <w:r>
        <w:br/>
      </w:r>
      <w:r>
        <w:rPr>
          <w:rStyle w:val="VerbatimChar"/>
        </w:rPr>
        <w:t xml:space="preserve">           Model 1: Base       -12.51      13.27    0.346  2.24% 67</w:t>
      </w:r>
      <w:r>
        <w:br/>
      </w:r>
      <w:r>
        <w:rPr>
          <w:rStyle w:val="VerbatimChar"/>
        </w:rPr>
        <w:t xml:space="preserve">           Model 2: Full       -12.68       9.95    0.202 50.98% 67</w:t>
      </w:r>
      <w:r>
        <w:br/>
      </w:r>
      <w:r>
        <w:rPr>
          <w:rStyle w:val="VerbatimChar"/>
        </w:rPr>
        <w:t xml:space="preserve">Model 3: Factor-Adjusted        -8.38      10.45    0.423 61.72% 45</w:t>
      </w:r>
    </w:p>
    <w:p>
      <w:pPr>
        <w:pStyle w:val="FirstParagraph"/>
      </w:pPr>
      <w:r>
        <w:rPr>
          <w:iCs/>
          <w:i/>
        </w:rPr>
        <w:t xml:space="preserve">Comparison of Base Model vs Full Model regression results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Load extracted results</w:t>
      </w:r>
      <w:r>
        <w:br/>
      </w:r>
      <w:r>
        <w:rPr>
          <w:rStyle w:val="NormalTok"/>
        </w:rPr>
        <w:t xml:space="preserve">results_path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'../Paper_YM/extracted_results.json'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os.path.exists(results_path):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(results_path,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key findings from Model 2 (Full Model)</w:t>
      </w:r>
      <w:r>
        <w:br/>
      </w:r>
      <w:r>
        <w:rPr>
          <w:rStyle w:val="NormalTok"/>
        </w:rPr>
        <w:t xml:space="preserve">    model2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'model2'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findings_data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'Variable'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'Market Return'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'Inflation Change'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'Interest Rate Change'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'Consumer Confidence Change'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'Disposable Income Change'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'Coefficient'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model2[</w:t>
      </w:r>
      <w:r>
        <w:rPr>
          <w:rStyle w:val="StringTok"/>
        </w:rPr>
        <w:t xml:space="preserve">'market_return'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'coef'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model2[</w:t>
      </w:r>
      <w:r>
        <w:rPr>
          <w:rStyle w:val="StringTok"/>
        </w:rPr>
        <w:t xml:space="preserve">'inflation_change'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'coef'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model2[</w:t>
      </w:r>
      <w:r>
        <w:rPr>
          <w:rStyle w:val="StringTok"/>
        </w:rPr>
        <w:t xml:space="preserve">'fed_funds_change'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'coef'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model2[</w:t>
      </w:r>
      <w:r>
        <w:rPr>
          <w:rStyle w:val="StringTok"/>
        </w:rPr>
        <w:t xml:space="preserve">'consumer_conf_change'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'coef'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model2[</w:t>
      </w:r>
      <w:r>
        <w:rPr>
          <w:rStyle w:val="StringTok"/>
        </w:rPr>
        <w:t xml:space="preserve">'disposable_income_change'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'coef'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'p-value'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model2[</w:t>
      </w:r>
      <w:r>
        <w:rPr>
          <w:rStyle w:val="StringTok"/>
        </w:rPr>
        <w:t xml:space="preserve">'market_return'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model2[</w:t>
      </w:r>
      <w:r>
        <w:rPr>
          <w:rStyle w:val="StringTok"/>
        </w:rPr>
        <w:t xml:space="preserve">'inflation_change'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model2[</w:t>
      </w:r>
      <w:r>
        <w:rPr>
          <w:rStyle w:val="StringTok"/>
        </w:rPr>
        <w:t xml:space="preserve">'fed_funds_change'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model2[</w:t>
      </w:r>
      <w:r>
        <w:rPr>
          <w:rStyle w:val="StringTok"/>
        </w:rPr>
        <w:t xml:space="preserve">'consumer_conf_change'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model2[</w:t>
      </w:r>
      <w:r>
        <w:rPr>
          <w:rStyle w:val="StringTok"/>
        </w:rPr>
        <w:t xml:space="preserve">'disposable_income_change'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'Significance'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'***'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'market_return'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'market_return'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'market_return'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'***'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'inflation_change'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'inflation_change'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'inflation_change'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'***'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'fed_funds_change'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'fed_funds_change'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'fed_funds_change'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'***'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'consumer_conf_change'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'consumer_conf_change'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'consumer_conf_change'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'***'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'disposable_income_change'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'disposable_income_change'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model2[</w:t>
      </w:r>
      <w:r>
        <w:rPr>
          <w:rStyle w:val="StringTok"/>
        </w:rPr>
        <w:t xml:space="preserve">'disposable_income_change'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'pval'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findings_df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pd.DataFrame(findings_data)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(findings_df.to_string(index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*** p&lt;0.001, ** p&lt;0.01, * p&lt;0.05"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Model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(model2[</w:t>
      </w:r>
      <w:r>
        <w:rPr>
          <w:rStyle w:val="StringTok"/>
        </w:rPr>
        <w:t xml:space="preserve">'r2'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 file not found. Please ensure extracted_results.json exists."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       Variable Coefficient p-value Significance</w:t>
      </w:r>
      <w:r>
        <w:br/>
      </w:r>
      <w:r>
        <w:rPr>
          <w:rStyle w:val="VerbatimChar"/>
        </w:rPr>
        <w:t xml:space="preserve">             Market Return        2.38   0.000          ***</w:t>
      </w:r>
      <w:r>
        <w:br/>
      </w:r>
      <w:r>
        <w:rPr>
          <w:rStyle w:val="VerbatimChar"/>
        </w:rPr>
        <w:t xml:space="preserve">          Inflation Change      -12.94   0.049            *</w:t>
      </w:r>
      <w:r>
        <w:br/>
      </w:r>
      <w:r>
        <w:rPr>
          <w:rStyle w:val="VerbatimChar"/>
        </w:rPr>
        <w:t xml:space="preserve">      Interest Rate Change      -12.68   0.202             </w:t>
      </w:r>
      <w:r>
        <w:br/>
      </w:r>
      <w:r>
        <w:rPr>
          <w:rStyle w:val="VerbatimChar"/>
        </w:rPr>
        <w:t xml:space="preserve">Consumer Confidence Change        0.75   0.102             </w:t>
      </w:r>
      <w:r>
        <w:br/>
      </w:r>
      <w:r>
        <w:rPr>
          <w:rStyle w:val="VerbatimChar"/>
        </w:rPr>
        <w:t xml:space="preserve">  Disposable Income Change       -0.59   0.493             </w:t>
      </w:r>
      <w:r>
        <w:br/>
      </w:r>
      <w:r>
        <w:br/>
      </w:r>
      <w:r>
        <w:rPr>
          <w:rStyle w:val="VerbatimChar"/>
        </w:rPr>
        <w:t xml:space="preserve">*** p&lt;0.001, ** p&lt;0.01, * p&lt;0.05</w:t>
      </w:r>
      <w:r>
        <w:br/>
      </w:r>
      <w:r>
        <w:br/>
      </w:r>
      <w:r>
        <w:rPr>
          <w:rStyle w:val="VerbatimChar"/>
        </w:rPr>
        <w:t xml:space="preserve">Model R²: 50.98%</w:t>
      </w:r>
    </w:p>
    <w:p>
      <w:pPr>
        <w:numPr>
          <w:ilvl w:val="0"/>
          <w:numId w:val="1012"/>
        </w:numPr>
        <w:pStyle w:val="Compact"/>
      </w:pPr>
      <w:r>
        <w:t xml:space="preserve">BNPL returns exhibit substantial volatility over the sample period</w:t>
      </w:r>
    </w:p>
    <w:p>
      <w:pPr>
        <w:numPr>
          <w:ilvl w:val="0"/>
          <w:numId w:val="1012"/>
        </w:numPr>
        <w:pStyle w:val="Compact"/>
      </w:pPr>
      <w:r>
        <w:t xml:space="preserve">Major movements coincide with monetary policy changes and market-wide events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Load extracted results</w:t>
      </w:r>
      <w:r>
        <w:br/>
      </w:r>
      <w:r>
        <w:rPr>
          <w:rStyle w:val="NormalTok"/>
        </w:rPr>
        <w:t xml:space="preserve">results_path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'../Paper_YM/extracted_results.json'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os.path.exists(results_path):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(results_path,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coefficients from Model 2 (Full Model)</w:t>
      </w:r>
      <w:r>
        <w:br/>
      </w:r>
      <w:r>
        <w:rPr>
          <w:rStyle w:val="NormalTok"/>
        </w:rPr>
        <w:t xml:space="preserve">    model2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'model2'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Prepare data for forest plot</w:t>
      </w:r>
      <w:r>
        <w:br/>
      </w:r>
      <w:r>
        <w:rPr>
          <w:rStyle w:val="NormalTok"/>
        </w:rPr>
        <w:t xml:space="preserve">    variables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coefficients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ci_lower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ci_upper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Order: exclude constant, order by coefficient magnitude</w:t>
      </w:r>
      <w:r>
        <w:br/>
      </w:r>
      <w:r>
        <w:rPr>
          <w:rStyle w:val="NormalTok"/>
        </w:rPr>
        <w:t xml:space="preserve">    var_order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'market_return'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'inflation_change'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'fed_funds_change'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'consumer_conf_change'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'disposable_income_change'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var_labels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'Market Return'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'Inflation Change'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'Interest Rate Change'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'Consumer Confidence'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'Disposable Income'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(var_order, var_labels):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model2:</w:t>
      </w:r>
      <w:r>
        <w:br/>
      </w:r>
      <w:r>
        <w:rPr>
          <w:rStyle w:val="NormalTok"/>
        </w:rPr>
        <w:t xml:space="preserve">            variables.append(label)</w:t>
      </w:r>
      <w:r>
        <w:br/>
      </w:r>
      <w:r>
        <w:rPr>
          <w:rStyle w:val="NormalTok"/>
        </w:rPr>
        <w:t xml:space="preserve">            coefficients.append(model2[var][</w:t>
      </w:r>
      <w:r>
        <w:rPr>
          <w:rStyle w:val="StringTok"/>
        </w:rPr>
        <w:t xml:space="preserve">'coef'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ci_lower.append(model2[var][</w:t>
      </w:r>
      <w:r>
        <w:rPr>
          <w:rStyle w:val="StringTok"/>
        </w:rPr>
        <w:t xml:space="preserve">'ci_low'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ci_upper.append(model2[var][</w:t>
      </w:r>
      <w:r>
        <w:rPr>
          <w:rStyle w:val="StringTok"/>
        </w:rPr>
        <w:t xml:space="preserve">'ci_up'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forest plot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y_pos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(variables))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confidence intervals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(coef, low, high)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(coefficients, ci_lower, ci_upper)):</w:t>
      </w:r>
      <w:r>
        <w:br/>
      </w:r>
      <w:r>
        <w:rPr>
          <w:rStyle w:val="NormalTok"/>
        </w:rPr>
        <w:t xml:space="preserve">        ax.plot([low, high], [i, i], </w:t>
      </w:r>
      <w:r>
        <w:rPr>
          <w:rStyle w:val="StringTok"/>
        </w:rPr>
        <w:t xml:space="preserve">'k-'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ax.plot(coef, i, </w:t>
      </w:r>
      <w:r>
        <w:rPr>
          <w:rStyle w:val="StringTok"/>
        </w:rPr>
        <w:t xml:space="preserve">'ko'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vertical line at zero</w:t>
      </w:r>
      <w:r>
        <w:br/>
      </w:r>
      <w:r>
        <w:rPr>
          <w:rStyle w:val="NormalTok"/>
        </w:rPr>
        <w:t xml:space="preserve">    ax.axvline(x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ax.set_yticks(y_pos)</w:t>
      </w:r>
      <w:r>
        <w:br/>
      </w:r>
      <w:r>
        <w:rPr>
          <w:rStyle w:val="NormalTok"/>
        </w:rPr>
        <w:t xml:space="preserve">    ax.set_yticklabels(variables)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'Coefficient Estimate'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tringTok"/>
        </w:rPr>
        <w:t xml:space="preserve">'Regression Coefficients with 95% Confidence Intervals'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 file not found. Please ensure extracted_results.json exists."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18206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5d1f3d4db9dbcb50d05392bad64f5e10ab857e3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249819"/>
            <wp:effectExtent b="0" l="0" r="0" t="0"/>
            <wp:docPr descr="BNPL Returns Time Series" title="" id="1" name="Picture"/>
            <a:graphic>
              <a:graphicData uri="http://schemas.openxmlformats.org/drawingml/2006/picture">
                <pic:pic>
                  <pic:nvPicPr>
                    <pic:cNvPr descr="1abd737cacad50f78b5d35e289ba094be69483e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9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Time series of BNPL stock returns showing volatility patterns and key events</w:t>
      </w:r>
    </w:p>
    <w:p>
      <w:pPr>
        <w:pStyle w:val="BodyText"/>
      </w:pPr>
      <w:r>
        <w:drawing>
          <wp:inline>
            <wp:extent cx="5334000" cy="2251104"/>
            <wp:effectExtent b="0" l="0" r="0" t="0"/>
            <wp:docPr descr="BNPL Returns vs Interest Rate" title="" id="1" name="Picture"/>
            <a:graphic>
              <a:graphicData uri="http://schemas.openxmlformats.org/drawingml/2006/picture">
                <pic:pic>
                  <pic:nvPicPr>
                    <pic:cNvPr descr="5c1f9be43840dd3a808a956dce40ff59a0886f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1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Scatter plot showing relationship between BNPL returns and interest rate changes</w:t>
      </w:r>
    </w:p>
    <w:p>
      <w:pPr>
        <w:pStyle w:val="BodyText"/>
      </w:pPr>
      <w:r>
        <w:rPr>
          <w:iCs/>
          <w:i/>
        </w:rPr>
        <w:t xml:space="preserve">Forest plot showing coefficient estimates and 95% confidence intervals for all variables</w:t>
      </w:r>
    </w:p>
    <w:p>
      <w:pPr>
        <w:pStyle w:val="BodyText"/>
      </w:pPr>
      <w:r>
        <w:rPr>
          <w:bCs/>
          <w:b/>
        </w:rPr>
        <w:t xml:space="preserve">Finding 1: Market Risk Exposure (β = 2.38, p &lt; 0.001)</w:t>
      </w:r>
    </w:p>
    <w:p>
      <w:pPr>
        <w:numPr>
          <w:ilvl w:val="0"/>
          <w:numId w:val="1013"/>
        </w:numPr>
        <w:pStyle w:val="Compact"/>
      </w:pPr>
      <w:r>
        <w:t xml:space="preserve">BNPL stocks move approximately</w:t>
      </w:r>
      <w:r>
        <w:t xml:space="preserve"> </w:t>
      </w:r>
      <w:r>
        <w:rPr>
          <w:bCs/>
          <w:b/>
        </w:rPr>
        <w:t xml:space="preserve">2.4 times</w:t>
      </w:r>
      <w:r>
        <w:t xml:space="preserve"> </w:t>
      </w:r>
      <w:r>
        <w:t xml:space="preserve">as much as the broader market</w:t>
      </w:r>
    </w:p>
    <w:p>
      <w:pPr>
        <w:numPr>
          <w:ilvl w:val="0"/>
          <w:numId w:val="1013"/>
        </w:numPr>
        <w:pStyle w:val="Compact"/>
      </w:pPr>
      <w:r>
        <w:t xml:space="preserve">This makes sense as BNPL firms are growth stocks primarily valued on growth expectations</w:t>
      </w:r>
    </w:p>
    <w:p>
      <w:pPr>
        <w:pStyle w:val="FirstParagraph"/>
      </w:pPr>
      <w:r>
        <w:rPr>
          <w:bCs/>
          <w:b/>
        </w:rPr>
        <w:t xml:space="preserve">Finding 2: Inflation Pressure (β = -12.94, p = 0.049)</w:t>
      </w:r>
    </w:p>
    <w:p>
      <w:pPr>
        <w:numPr>
          <w:ilvl w:val="0"/>
          <w:numId w:val="1014"/>
        </w:numPr>
        <w:pStyle w:val="Compact"/>
      </w:pPr>
      <w:r>
        <w:t xml:space="preserve">Higher inflation is statistically significantly associated with lower BNPL returns</w:t>
      </w:r>
    </w:p>
    <w:p>
      <w:pPr>
        <w:numPr>
          <w:ilvl w:val="0"/>
          <w:numId w:val="1014"/>
        </w:numPr>
        <w:pStyle w:val="Compact"/>
      </w:pPr>
      <w:r>
        <w:t xml:space="preserve">Inflation erodes purchasing power, particularly affecting subprime BNPL users with limited financial buffers</w:t>
      </w:r>
    </w:p>
    <w:p>
      <w:pPr>
        <w:pStyle w:val="FirstParagraph"/>
      </w:pPr>
      <w:r>
        <w:rPr>
          <w:bCs/>
          <w:b/>
        </w:rPr>
        <w:t xml:space="preserve">Finding 3: Interest Rate Sensitivity (β = -12.68, p = 0.202)</w:t>
      </w:r>
    </w:p>
    <w:p>
      <w:pPr>
        <w:numPr>
          <w:ilvl w:val="0"/>
          <w:numId w:val="1015"/>
        </w:numPr>
        <w:pStyle w:val="Compact"/>
      </w:pPr>
      <w:r>
        <w:t xml:space="preserve">Coefficient is economically substantial but not statistically significant</w:t>
      </w:r>
    </w:p>
    <w:p>
      <w:pPr>
        <w:numPr>
          <w:ilvl w:val="0"/>
          <w:numId w:val="1015"/>
        </w:numPr>
        <w:pStyle w:val="Compact"/>
      </w:pPr>
      <w:r>
        <w:t xml:space="preserve">The magnitude suggests genuine effect that may be obscured by small sample size and high volatility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Economic Magnitude:</w:t>
      </w:r>
      <w:r>
        <w:t xml:space="preserve"> </w:t>
      </w:r>
      <w:r>
        <w:t xml:space="preserve">12.68% return decline per 1pp rate increase</w:t>
      </w:r>
    </w:p>
    <w:p>
      <w:pPr>
        <w:numPr>
          <w:ilvl w:val="0"/>
          <w:numId w:val="1015"/>
        </w:numPr>
        <w:pStyle w:val="Compact"/>
      </w:pPr>
      <w:r>
        <w:t xml:space="preserve">Over sample period (500bp increase), this implies economically massive effects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Multicollinearity:</w:t>
      </w:r>
      <w:r>
        <w:t xml:space="preserve"> </w:t>
      </w:r>
      <w:r>
        <w:t xml:space="preserve">Condition number = 27.1 (below concerning threshold)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Heteroskedasticity:</w:t>
      </w:r>
      <w:r>
        <w:t xml:space="preserve"> </w:t>
      </w:r>
      <w:r>
        <w:t xml:space="preserve">Addressed with HC3 robust standard errors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Serial Correlation:</w:t>
      </w:r>
      <w:r>
        <w:t xml:space="preserve"> </w:t>
      </w:r>
      <w:r>
        <w:t xml:space="preserve">Durbin-Watson = 2.005 (no correlation detected)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Normality:</w:t>
      </w:r>
      <w:r>
        <w:t xml:space="preserve"> </w:t>
      </w:r>
      <w:r>
        <w:t xml:space="preserve">Residuals approximately normal with minor tail deviations typical for financial data</w:t>
      </w:r>
    </w:p>
    <w:p>
      <w:pPr>
        <w:pStyle w:val="FirstParagraph"/>
      </w:pPr>
      <w:r>
        <w:drawing>
          <wp:inline>
            <wp:extent cx="5334000" cy="3786330"/>
            <wp:effectExtent b="0" l="0" r="0" t="0"/>
            <wp:docPr descr="Diagnostic Plots" title="" id="1" name="Picture"/>
            <a:graphic>
              <a:graphicData uri="http://schemas.openxmlformats.org/drawingml/2006/picture">
                <pic:pic>
                  <pic:nvPicPr>
                    <pic:cNvPr descr="ed28af6b05063b1e5b7ba6ca65e8f8e2d66c329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6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Comprehensive diagnostic plots: residuals vs fitted, Q-Q plot, scale-location, and leverage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Critical Finding:</w:t>
      </w:r>
      <w:r>
        <w:t xml:space="preserve"> </w:t>
      </w:r>
      <w:r>
        <w:t xml:space="preserve">BNPL exhibits significantly higher volatility (20.46%) compared to credit card companies (9.93%)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Volatility Ratio:</w:t>
      </w:r>
      <w:r>
        <w:t xml:space="preserve"> </w:t>
      </w:r>
      <w:r>
        <w:t xml:space="preserve">2.06x higher than credit card companies</w:t>
      </w:r>
    </w:p>
    <w:p>
      <w:pPr>
        <w:numPr>
          <w:ilvl w:val="0"/>
          <w:numId w:val="1017"/>
        </w:numPr>
        <w:pStyle w:val="Compact"/>
      </w:pPr>
      <w:r>
        <w:t xml:space="preserve">This suggests investors perceive BNPL business model as riskier than established credit infrastructure</w:t>
      </w:r>
    </w:p>
    <w:p>
      <w:pPr>
        <w:numPr>
          <w:ilvl w:val="0"/>
          <w:numId w:val="1017"/>
        </w:numPr>
        <w:pStyle w:val="Compact"/>
      </w:pPr>
      <w:r>
        <w:t xml:space="preserve">Reflects multiple concerns:</w:t>
      </w:r>
    </w:p>
    <w:p>
      <w:pPr>
        <w:numPr>
          <w:ilvl w:val="1"/>
          <w:numId w:val="1018"/>
        </w:numPr>
        <w:pStyle w:val="Compact"/>
      </w:pPr>
      <w:r>
        <w:t xml:space="preserve">Interest rate sensitivity concerns</w:t>
      </w:r>
    </w:p>
    <w:p>
      <w:pPr>
        <w:numPr>
          <w:ilvl w:val="1"/>
          <w:numId w:val="1018"/>
        </w:numPr>
        <w:pStyle w:val="Compact"/>
      </w:pPr>
      <w:r>
        <w:t xml:space="preserve">Business model uncertainty</w:t>
      </w:r>
    </w:p>
    <w:p>
      <w:pPr>
        <w:numPr>
          <w:ilvl w:val="1"/>
          <w:numId w:val="1018"/>
        </w:numPr>
        <w:pStyle w:val="Compact"/>
      </w:pPr>
      <w:r>
        <w:t xml:space="preserve">Regulatory uncertainty</w:t>
      </w:r>
    </w:p>
    <w:p>
      <w:pPr>
        <w:numPr>
          <w:ilvl w:val="1"/>
          <w:numId w:val="1018"/>
        </w:numPr>
        <w:pStyle w:val="Compact"/>
      </w:pPr>
      <w:r>
        <w:t xml:space="preserve">Competitive threats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Small Sample Size:</w:t>
      </w:r>
      <w:r>
        <w:t xml:space="preserve"> </w:t>
      </w:r>
      <w:r>
        <w:t xml:space="preserve">Only 67 monthly observations limit statistical power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Time Period:</w:t>
      </w:r>
      <w:r>
        <w:t xml:space="preserve"> </w:t>
      </w:r>
      <w:r>
        <w:t xml:space="preserve">Covers only one interest rate cycle (accommodative to tightening)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Omitted Variables:</w:t>
      </w:r>
      <w:r>
        <w:t xml:space="preserve"> </w:t>
      </w:r>
      <w:r>
        <w:t xml:space="preserve">Firm-specific news, regulatory changes, competitive dynamics not captured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Statistical Significance:</w:t>
      </w:r>
      <w:r>
        <w:t xml:space="preserve"> </w:t>
      </w:r>
      <w:r>
        <w:t xml:space="preserve">Interest rate coefficient economically meaningful but not statistically significant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Main Finding:</w:t>
      </w:r>
      <w:r>
        <w:t xml:space="preserve"> </w:t>
      </w:r>
      <w:r>
        <w:t xml:space="preserve">BNPL firms exhibit sensitivity to interest rate changes through multiple channels:</w:t>
      </w:r>
    </w:p>
    <w:p>
      <w:pPr>
        <w:numPr>
          <w:ilvl w:val="1"/>
          <w:numId w:val="1021"/>
        </w:numPr>
        <w:pStyle w:val="Compact"/>
      </w:pPr>
      <w:r>
        <w:t xml:space="preserve">Funding costs</w:t>
      </w:r>
    </w:p>
    <w:p>
      <w:pPr>
        <w:numPr>
          <w:ilvl w:val="1"/>
          <w:numId w:val="1021"/>
        </w:numPr>
        <w:pStyle w:val="Compact"/>
      </w:pPr>
      <w:r>
        <w:t xml:space="preserve">Consumer demand</w:t>
      </w:r>
    </w:p>
    <w:p>
      <w:pPr>
        <w:numPr>
          <w:ilvl w:val="1"/>
          <w:numId w:val="1021"/>
        </w:numPr>
        <w:pStyle w:val="Compact"/>
      </w:pPr>
      <w:r>
        <w:t xml:space="preserve">Credit market conditions</w:t>
      </w:r>
    </w:p>
    <w:p>
      <w:pPr>
        <w:numPr>
          <w:ilvl w:val="0"/>
          <w:numId w:val="1020"/>
        </w:numPr>
        <w:pStyle w:val="Compact"/>
      </w:pPr>
      <w:r>
        <w:t xml:space="preserve">The research provided nuanced evidence that BNPL firms are affected by monetary policy but through complex transmission mechanisms rather than simple direct funding cost pass-through</w:t>
      </w:r>
    </w:p>
    <w:p>
      <w:pPr>
        <w:numPr>
          <w:ilvl w:val="0"/>
          <w:numId w:val="1020"/>
        </w:numPr>
        <w:pStyle w:val="Compact"/>
      </w:pPr>
      <w:r>
        <w:t xml:space="preserve">This research demonstrates that Buy-Now-Pay-Later firms represent a distinct asset class with unique sensitivity patterns to macroeconomic conditions</w:t>
      </w:r>
    </w:p>
    <w:p>
      <w:pPr>
        <w:numPr>
          <w:ilvl w:val="0"/>
          <w:numId w:val="1020"/>
        </w:numPr>
        <w:pStyle w:val="Compact"/>
      </w:pPr>
      <w:r>
        <w:t xml:space="preserve">The sector's rapid growth and concentration among financially vulnerable consumers suggests continued monitoring and research as monetary policy environment evolves</w:t>
      </w:r>
    </w:p>
    <w:p>
      <w:pPr>
        <w:numPr>
          <w:ilvl w:val="0"/>
          <w:numId w:val="1020"/>
        </w:numPr>
        <w:pStyle w:val="Compact"/>
      </w:pPr>
      <w:r>
        <w:t xml:space="preserve">BNPL sector's rapid growth creates need for close monitoring</w:t>
      </w:r>
    </w:p>
    <w:p>
      <w:pPr>
        <w:numPr>
          <w:ilvl w:val="0"/>
          <w:numId w:val="1020"/>
        </w:numPr>
        <w:pStyle w:val="Compact"/>
      </w:pPr>
      <w:r>
        <w:t xml:space="preserve">Thin margins and wholesale funding create vulnerabilities</w:t>
      </w:r>
    </w:p>
    <w:p>
      <w:pPr>
        <w:numPr>
          <w:ilvl w:val="0"/>
          <w:numId w:val="1020"/>
        </w:numPr>
        <w:pStyle w:val="Compact"/>
      </w:pPr>
      <w:r>
        <w:t xml:space="preserve">Consider how monetary policy and regulation interact to affect consumer credit access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2" Target="media/rId22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2025-11-17T22:28:56Z</dcterms:created>
  <dcterms:modified xsi:type="dcterms:W3CDTF">2025-11-17T22:28:56Z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