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08509D" w:rsidRPr="0008509D" w14:paraId="248ACA35" w14:textId="77777777" w:rsidTr="00BE645F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800AA" w14:textId="77777777" w:rsidR="0008509D" w:rsidRPr="0008509D" w:rsidRDefault="0008509D" w:rsidP="000850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8509D">
              <w:rPr>
                <w:noProof/>
                <w:sz w:val="24"/>
                <w:szCs w:val="24"/>
              </w:rPr>
              <w:drawing>
                <wp:inline distT="0" distB="0" distL="0" distR="0" wp14:anchorId="0AD618EA" wp14:editId="528674B1">
                  <wp:extent cx="264795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8509D">
              <w:rPr>
                <w:rFonts w:ascii="Garamond" w:hAnsi="Garamond"/>
                <w:sz w:val="24"/>
                <w:szCs w:val="24"/>
              </w:rPr>
              <w:t xml:space="preserve">   </w:t>
            </w:r>
          </w:p>
          <w:p w14:paraId="130E3EC5" w14:textId="77777777" w:rsidR="0008509D" w:rsidRPr="0008509D" w:rsidRDefault="0008509D" w:rsidP="0008509D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8509D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</w:tbl>
    <w:p w14:paraId="7B7C2765" w14:textId="77777777" w:rsidR="0008509D" w:rsidRPr="0008509D" w:rsidRDefault="0008509D" w:rsidP="0008509D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US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4878"/>
        <w:gridCol w:w="5418"/>
      </w:tblGrid>
      <w:tr w:rsidR="0008509D" w:rsidRPr="0008509D" w14:paraId="5D1DD0AE" w14:textId="77777777" w:rsidTr="00BE645F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04D38" w14:textId="77777777" w:rsidR="0008509D" w:rsidRPr="0008509D" w:rsidRDefault="0008509D" w:rsidP="0008509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8509D">
              <w:rPr>
                <w:rFonts w:ascii="Garamond" w:hAnsi="Garamond"/>
                <w:b/>
                <w:sz w:val="24"/>
                <w:szCs w:val="24"/>
              </w:rPr>
              <w:t>Department of Economics</w:t>
            </w:r>
          </w:p>
          <w:p w14:paraId="579F3D2D" w14:textId="259AD9D1" w:rsidR="0008509D" w:rsidRPr="0008509D" w:rsidRDefault="00D91254" w:rsidP="0008509D">
            <w:pPr>
              <w:rPr>
                <w:rFonts w:ascii="Garamond" w:hAnsi="Garamond"/>
                <w:sz w:val="24"/>
                <w:szCs w:val="24"/>
              </w:rPr>
            </w:pPr>
            <w:r w:rsidRPr="00D91254">
              <w:rPr>
                <w:rFonts w:ascii="Garamond" w:hAnsi="Garamond"/>
                <w:sz w:val="24"/>
                <w:szCs w:val="24"/>
              </w:rPr>
              <w:t>Wyman Park Building 582</w:t>
            </w:r>
            <w:r w:rsidR="0008509D" w:rsidRPr="0008509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14:paraId="12FACD67" w14:textId="5BDA3F6D" w:rsidR="0008509D" w:rsidRPr="0008509D" w:rsidRDefault="00D91254" w:rsidP="0008509D">
            <w:pPr>
              <w:rPr>
                <w:rFonts w:ascii="Garamond" w:hAnsi="Garamond"/>
                <w:sz w:val="24"/>
                <w:szCs w:val="24"/>
              </w:rPr>
            </w:pPr>
            <w:r w:rsidRPr="00D91254">
              <w:rPr>
                <w:rFonts w:ascii="Garamond" w:hAnsi="Garamond"/>
                <w:sz w:val="24"/>
                <w:szCs w:val="24"/>
              </w:rPr>
              <w:t>Wyman Park Building</w:t>
            </w:r>
            <w:r w:rsidR="0008509D" w:rsidRPr="0008509D">
              <w:rPr>
                <w:rFonts w:ascii="Garamond" w:hAnsi="Garamond"/>
                <w:sz w:val="24"/>
                <w:szCs w:val="24"/>
              </w:rPr>
              <w:t xml:space="preserve">. </w:t>
            </w:r>
          </w:p>
          <w:p w14:paraId="3AA6AB08" w14:textId="77777777" w:rsidR="0008509D" w:rsidRPr="0008509D" w:rsidRDefault="0008509D" w:rsidP="0008509D">
            <w:pPr>
              <w:rPr>
                <w:rFonts w:ascii="Garamond" w:hAnsi="Garamond"/>
                <w:sz w:val="24"/>
                <w:szCs w:val="24"/>
              </w:rPr>
            </w:pPr>
            <w:r w:rsidRPr="0008509D">
              <w:rPr>
                <w:rFonts w:ascii="Garamond" w:hAnsi="Garamond"/>
                <w:sz w:val="24"/>
                <w:szCs w:val="24"/>
              </w:rPr>
              <w:t>Baltimore, MD 21218</w:t>
            </w:r>
          </w:p>
          <w:p w14:paraId="26FC17BE" w14:textId="77777777" w:rsidR="0008509D" w:rsidRPr="0008509D" w:rsidRDefault="0008509D" w:rsidP="0008509D">
            <w:pPr>
              <w:rPr>
                <w:rFonts w:ascii="Garamond" w:hAnsi="Garamond"/>
                <w:sz w:val="24"/>
                <w:szCs w:val="24"/>
              </w:rPr>
            </w:pPr>
            <w:r w:rsidRPr="0008509D">
              <w:rPr>
                <w:rFonts w:ascii="Garamond" w:hAnsi="Garamond"/>
                <w:sz w:val="24"/>
                <w:szCs w:val="24"/>
              </w:rPr>
              <w:t>Tel: (410) 516-7604 / Fax: (410) 516-7600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79297" w14:textId="77777777" w:rsidR="0008509D" w:rsidRPr="0008509D" w:rsidRDefault="0008509D" w:rsidP="0008509D">
            <w:pPr>
              <w:rPr>
                <w:rFonts w:ascii="Garamond" w:hAnsi="Garamond"/>
                <w:b/>
                <w:sz w:val="24"/>
                <w:szCs w:val="24"/>
                <w:lang w:val="fr-FR"/>
              </w:rPr>
            </w:pPr>
            <w:r w:rsidRPr="0008509D">
              <w:rPr>
                <w:rFonts w:ascii="Garamond" w:hAnsi="Garamond"/>
                <w:b/>
                <w:sz w:val="24"/>
                <w:szCs w:val="24"/>
                <w:lang w:val="fr-FR"/>
              </w:rPr>
              <w:t xml:space="preserve">                    Olivier JEANNE</w:t>
            </w:r>
          </w:p>
          <w:p w14:paraId="792F7807" w14:textId="77777777" w:rsidR="0008509D" w:rsidRPr="0008509D" w:rsidRDefault="0008509D" w:rsidP="0008509D">
            <w:pPr>
              <w:rPr>
                <w:rFonts w:ascii="Garamond" w:hAnsi="Garamond"/>
                <w:sz w:val="24"/>
                <w:szCs w:val="24"/>
                <w:lang w:val="fr-FR"/>
              </w:rPr>
            </w:pPr>
            <w:r w:rsidRPr="0008509D">
              <w:rPr>
                <w:rFonts w:ascii="Garamond" w:hAnsi="Garamond"/>
                <w:sz w:val="24"/>
                <w:szCs w:val="24"/>
                <w:lang w:val="fr-FR"/>
              </w:rPr>
              <w:t xml:space="preserve">                    Professor</w:t>
            </w:r>
          </w:p>
          <w:p w14:paraId="2D1CA832" w14:textId="77777777" w:rsidR="0008509D" w:rsidRPr="0008509D" w:rsidRDefault="0008509D" w:rsidP="0008509D">
            <w:pPr>
              <w:rPr>
                <w:rFonts w:ascii="Garamond" w:hAnsi="Garamond"/>
                <w:sz w:val="24"/>
                <w:szCs w:val="24"/>
                <w:lang w:val="fr-FR"/>
              </w:rPr>
            </w:pPr>
          </w:p>
          <w:p w14:paraId="3F6D3F2F" w14:textId="77777777" w:rsidR="0008509D" w:rsidRPr="0008509D" w:rsidRDefault="0008509D" w:rsidP="0008509D">
            <w:pPr>
              <w:rPr>
                <w:rFonts w:ascii="Garamond" w:hAnsi="Garamond"/>
                <w:sz w:val="24"/>
                <w:szCs w:val="24"/>
                <w:lang w:val="fr-FR"/>
              </w:rPr>
            </w:pPr>
            <w:r w:rsidRPr="0008509D">
              <w:rPr>
                <w:rFonts w:ascii="Garamond" w:hAnsi="Garamond"/>
                <w:sz w:val="24"/>
                <w:szCs w:val="24"/>
                <w:lang w:val="fr-FR"/>
              </w:rPr>
              <w:t xml:space="preserve">                    ojeanne@jhu.edu</w:t>
            </w:r>
          </w:p>
        </w:tc>
      </w:tr>
    </w:tbl>
    <w:p w14:paraId="5BDB7E8C" w14:textId="77777777" w:rsidR="0008509D" w:rsidRPr="0008509D" w:rsidRDefault="0008509D" w:rsidP="0008509D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fr-FR" w:eastAsia="en-US"/>
        </w:rPr>
      </w:pPr>
    </w:p>
    <w:p w14:paraId="0E92AAD0" w14:textId="77777777" w:rsidR="0008509D" w:rsidRPr="0008509D" w:rsidRDefault="0008509D" w:rsidP="0008509D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fr-FR" w:eastAsia="en-US"/>
        </w:rPr>
      </w:pPr>
    </w:p>
    <w:p w14:paraId="2BAF9AE5" w14:textId="5A399725" w:rsidR="0008509D" w:rsidRDefault="0041585D" w:rsidP="0008509D">
      <w:pPr>
        <w:spacing w:after="0" w:line="276" w:lineRule="auto"/>
        <w:rPr>
          <w:rFonts w:ascii="Garamond" w:eastAsia="Times New Roman" w:hAnsi="Garamond" w:cs="Times New Roman"/>
          <w:sz w:val="28"/>
          <w:szCs w:val="28"/>
          <w:lang w:val="fr-FR" w:eastAsia="en-US"/>
        </w:rPr>
      </w:pPr>
      <w:r>
        <w:rPr>
          <w:rFonts w:ascii="Garamond" w:eastAsia="Times New Roman" w:hAnsi="Garamond" w:cs="Times New Roman"/>
          <w:sz w:val="28"/>
          <w:szCs w:val="28"/>
          <w:lang w:val="fr-FR" w:eastAsia="en-US"/>
        </w:rPr>
        <w:t>April</w:t>
      </w:r>
      <w:r w:rsidR="0008509D" w:rsidRPr="0008509D">
        <w:rPr>
          <w:rFonts w:ascii="Garamond" w:eastAsia="Times New Roman" w:hAnsi="Garamond" w:cs="Times New Roman"/>
          <w:sz w:val="28"/>
          <w:szCs w:val="28"/>
          <w:lang w:val="fr-FR" w:eastAsia="en-US"/>
        </w:rPr>
        <w:t xml:space="preserve"> </w:t>
      </w:r>
      <w:r>
        <w:rPr>
          <w:rFonts w:ascii="Garamond" w:eastAsia="Times New Roman" w:hAnsi="Garamond" w:cs="Times New Roman"/>
          <w:sz w:val="28"/>
          <w:szCs w:val="28"/>
          <w:lang w:val="fr-FR" w:eastAsia="en-US"/>
        </w:rPr>
        <w:t>10</w:t>
      </w:r>
      <w:r w:rsidR="0008509D" w:rsidRPr="0008509D">
        <w:rPr>
          <w:rFonts w:ascii="Garamond" w:eastAsia="Times New Roman" w:hAnsi="Garamond" w:cs="Times New Roman"/>
          <w:sz w:val="28"/>
          <w:szCs w:val="28"/>
          <w:lang w:val="fr-FR" w:eastAsia="en-US"/>
        </w:rPr>
        <w:t>, 201</w:t>
      </w:r>
      <w:r>
        <w:rPr>
          <w:rFonts w:ascii="Garamond" w:eastAsia="Times New Roman" w:hAnsi="Garamond" w:cs="Times New Roman"/>
          <w:sz w:val="28"/>
          <w:szCs w:val="28"/>
          <w:lang w:val="fr-FR" w:eastAsia="en-US"/>
        </w:rPr>
        <w:t>8</w:t>
      </w:r>
    </w:p>
    <w:p w14:paraId="6E684EBD" w14:textId="32A1A2DF" w:rsidR="0041585D" w:rsidRDefault="0041585D" w:rsidP="0008509D">
      <w:pPr>
        <w:spacing w:after="0" w:line="276" w:lineRule="auto"/>
        <w:rPr>
          <w:rFonts w:ascii="Garamond" w:eastAsia="Times New Roman" w:hAnsi="Garamond" w:cs="Times New Roman"/>
          <w:sz w:val="28"/>
          <w:szCs w:val="28"/>
          <w:lang w:val="fr-FR" w:eastAsia="en-US"/>
        </w:rPr>
      </w:pPr>
    </w:p>
    <w:p w14:paraId="7DF20260" w14:textId="77777777" w:rsidR="0041585D" w:rsidRPr="0008509D" w:rsidRDefault="0041585D" w:rsidP="0008509D">
      <w:pPr>
        <w:spacing w:after="0" w:line="276" w:lineRule="auto"/>
        <w:rPr>
          <w:rFonts w:ascii="Garamond" w:eastAsia="Times New Roman" w:hAnsi="Garamond" w:cs="Times New Roman"/>
          <w:sz w:val="28"/>
          <w:szCs w:val="28"/>
          <w:lang w:val="fr-FR" w:eastAsia="en-US"/>
        </w:rPr>
      </w:pPr>
    </w:p>
    <w:p w14:paraId="0A70FA64" w14:textId="77777777" w:rsidR="0041585D" w:rsidRPr="0041585D" w:rsidRDefault="0041585D" w:rsidP="0041585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1585D">
        <w:rPr>
          <w:rFonts w:ascii="Times New Roman" w:eastAsia="Calibri" w:hAnsi="Times New Roman" w:cs="Times New Roman"/>
          <w:sz w:val="28"/>
          <w:szCs w:val="28"/>
          <w:lang w:eastAsia="en-US"/>
        </w:rPr>
        <w:t>Dear George,</w:t>
      </w:r>
    </w:p>
    <w:p w14:paraId="3F52B00D" w14:textId="77777777" w:rsidR="00F50354" w:rsidRDefault="0041585D" w:rsidP="0041585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I am writing to resubmit our paper </w:t>
      </w:r>
      <w:r w:rsidRPr="004158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“A Tractable Model of Precautionary Reserves, Net Foreign Assets, or Sovereign Wealth Funds” for the </w:t>
      </w:r>
      <w:r w:rsidRPr="0041585D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International Economic Review</w:t>
      </w:r>
      <w:r w:rsidRPr="004158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Our paper intends to link the </w:t>
      </w:r>
      <w:r w:rsidRPr="0041585D">
        <w:rPr>
          <w:rFonts w:ascii="Times New Roman" w:eastAsia="Calibri" w:hAnsi="Times New Roman" w:cs="Times New Roman"/>
          <w:sz w:val="28"/>
          <w:szCs w:val="28"/>
          <w:lang w:eastAsia="en-US"/>
        </w:rPr>
        <w:t>behavior of capital flows in a sample of growth-acceleration episodes in emerging markets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to the increase of idiosyncratic risk </w:t>
      </w:r>
      <w:r w:rsidR="00F5035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accompanied with high growth rate. Increase of the </w:t>
      </w:r>
      <w:r w:rsidR="00F50354" w:rsidRPr="00F50354">
        <w:rPr>
          <w:rFonts w:ascii="Times New Roman" w:eastAsia="Calibri" w:hAnsi="Times New Roman" w:cs="Times New Roman"/>
          <w:sz w:val="28"/>
          <w:szCs w:val="28"/>
          <w:lang w:eastAsia="en-US"/>
        </w:rPr>
        <w:t>idiosyncratic risk</w:t>
      </w:r>
      <w:r w:rsidR="00F5035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will increase the precautionary savings of households which could cause capital outflow from the country with high growth rate.</w:t>
      </w:r>
    </w:p>
    <w:p w14:paraId="0B48123F" w14:textId="0FBC1F31" w:rsidR="0041585D" w:rsidRPr="00F50354" w:rsidRDefault="004F219F" w:rsidP="0041585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F49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The referees that reviewed our original submission </w:t>
      </w:r>
      <w:r w:rsidR="00F50354" w:rsidRPr="004F49F4"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  <w:t xml:space="preserve">(MS#25841) </w:t>
      </w:r>
      <w:r w:rsidR="00654D19" w:rsidRPr="004F49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raised four points. Among them, the referees </w:t>
      </w:r>
      <w:r w:rsidR="004F49F4" w:rsidRPr="004F49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“wonder about </w:t>
      </w:r>
      <w:r w:rsidR="00EA06FE" w:rsidRPr="004F49F4">
        <w:rPr>
          <w:rFonts w:ascii="Times New Roman" w:eastAsia="Calibri" w:hAnsi="Times New Roman" w:cs="Times New Roman"/>
          <w:sz w:val="28"/>
          <w:szCs w:val="28"/>
          <w:lang w:eastAsia="en-US"/>
        </w:rPr>
        <w:t>the value of deriving the closed form solution” rather than relying on a model that can be solved numerically. The referees also “wonder how well this tractable model approximates the results from a richer model of income growth and risk.”</w:t>
      </w:r>
      <w:r w:rsidR="00F50354" w:rsidRPr="004F49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In our reply on October 30 2016, we propose</w:t>
      </w:r>
      <w:r w:rsidR="004F49F4">
        <w:rPr>
          <w:rFonts w:ascii="Times New Roman" w:eastAsia="Calibri" w:hAnsi="Times New Roman" w:cs="Times New Roman"/>
          <w:sz w:val="28"/>
          <w:szCs w:val="28"/>
          <w:lang w:eastAsia="en-US"/>
        </w:rPr>
        <w:t>d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to revise our paper by adding </w:t>
      </w:r>
      <w:r w:rsidR="00F6641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a more </w:t>
      </w:r>
      <w:r w:rsidR="00F6641E" w:rsidRPr="00F6641E">
        <w:rPr>
          <w:rFonts w:ascii="Times New Roman" w:eastAsia="Calibri" w:hAnsi="Times New Roman" w:cs="Times New Roman"/>
          <w:sz w:val="28"/>
          <w:szCs w:val="28"/>
          <w:lang w:eastAsia="en-US"/>
        </w:rPr>
        <w:t>complex model with overlapping generations of heterogeneous agents with a richly specified life cycle who are hit by idiosyncratic income shocks</w:t>
      </w:r>
      <w:r w:rsidR="00F6641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into our paper. In the new version of the paper, we </w:t>
      </w:r>
      <w:r w:rsidR="004F49F4">
        <w:rPr>
          <w:rFonts w:ascii="Times New Roman" w:eastAsia="Calibri" w:hAnsi="Times New Roman" w:cs="Times New Roman"/>
          <w:sz w:val="28"/>
          <w:szCs w:val="28"/>
          <w:lang w:eastAsia="en-US"/>
        </w:rPr>
        <w:t>added</w:t>
      </w:r>
      <w:r w:rsidR="00F6641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the result we calculated from such model in Section 3.2 as a robustness check for the result of the tractable model. </w:t>
      </w:r>
      <w:r w:rsidR="002F60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We include the detail of the model in Appendix A.7 Model with Heterogeneous Time Preference. </w:t>
      </w:r>
      <w:r w:rsidR="00F6641E">
        <w:rPr>
          <w:rFonts w:ascii="Times New Roman" w:eastAsia="Calibri" w:hAnsi="Times New Roman" w:cs="Times New Roman"/>
          <w:sz w:val="28"/>
          <w:szCs w:val="28"/>
          <w:lang w:eastAsia="en-US"/>
        </w:rPr>
        <w:t>The</w:t>
      </w:r>
      <w:r w:rsidR="002F60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model we use based </w:t>
      </w:r>
      <w:r w:rsidR="002F6005" w:rsidRPr="002F60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on the model that recently used in Carroll et al. (2017). </w:t>
      </w:r>
      <w:r w:rsidR="002F600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The model </w:t>
      </w:r>
      <w:r w:rsidR="00F6641E" w:rsidRPr="00F6641E">
        <w:rPr>
          <w:rFonts w:ascii="Times New Roman" w:eastAsia="Calibri" w:hAnsi="Times New Roman" w:cs="Times New Roman"/>
          <w:sz w:val="28"/>
          <w:szCs w:val="28"/>
          <w:lang w:eastAsia="en-US"/>
        </w:rPr>
        <w:t>is a standard version of the class of life cycle models with stochastic income shocks going back to Carroll (1997).</w:t>
      </w:r>
      <w:r w:rsidR="00F6641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EA06F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We </w:t>
      </w:r>
      <w:r w:rsidR="00F6641E">
        <w:rPr>
          <w:rFonts w:ascii="Times New Roman" w:eastAsia="Calibri" w:hAnsi="Times New Roman" w:cs="Times New Roman"/>
          <w:sz w:val="28"/>
          <w:szCs w:val="28"/>
          <w:lang w:eastAsia="en-US"/>
        </w:rPr>
        <w:t>show</w:t>
      </w:r>
      <w:r w:rsidR="004F49F4">
        <w:rPr>
          <w:rFonts w:ascii="Times New Roman" w:eastAsia="Calibri" w:hAnsi="Times New Roman" w:cs="Times New Roman"/>
          <w:sz w:val="28"/>
          <w:szCs w:val="28"/>
          <w:lang w:eastAsia="en-US"/>
        </w:rPr>
        <w:t>ed</w:t>
      </w:r>
      <w:r w:rsidR="00F6641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that the</w:t>
      </w:r>
      <w:r w:rsidR="00F6641E" w:rsidRPr="00F6641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properties of the tractable model </w:t>
      </w:r>
      <w:r w:rsidR="00F6641E" w:rsidRPr="00F6641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resemble</w:t>
      </w:r>
      <w:r w:rsidR="003C3691">
        <w:rPr>
          <w:rFonts w:ascii="Times New Roman" w:eastAsia="Calibri" w:hAnsi="Times New Roman" w:cs="Times New Roman"/>
          <w:sz w:val="28"/>
          <w:szCs w:val="28"/>
          <w:lang w:eastAsia="en-US"/>
        </w:rPr>
        <w:t>d</w:t>
      </w:r>
      <w:r w:rsidR="00F6641E" w:rsidRPr="00F6641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those of the more complex model when the appropriate conversion factor is applied to the level of idiosyncratic risk in the two models.</w:t>
      </w:r>
      <w:r w:rsidR="00F6641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3C45BB92" w14:textId="0E7349DF" w:rsidR="0041585D" w:rsidRPr="0041585D" w:rsidRDefault="0041585D" w:rsidP="0041585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1585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We think that our revision addresses the referees’ comments subject to the feasibility constraints. </w:t>
      </w:r>
      <w:bookmarkStart w:id="0" w:name="_GoBack"/>
      <w:bookmarkEnd w:id="0"/>
    </w:p>
    <w:p w14:paraId="5FC000E4" w14:textId="77777777" w:rsidR="009F51B5" w:rsidRPr="009F51B5" w:rsidRDefault="009F51B5" w:rsidP="009F51B5">
      <w:pPr>
        <w:spacing w:after="0" w:line="276" w:lineRule="auto"/>
        <w:rPr>
          <w:rFonts w:ascii="Garamond" w:eastAsia="Times New Roman" w:hAnsi="Garamond" w:cs="Times New Roman"/>
          <w:sz w:val="28"/>
          <w:szCs w:val="28"/>
          <w:lang w:eastAsia="en-US"/>
        </w:rPr>
      </w:pPr>
    </w:p>
    <w:p w14:paraId="63EF263C" w14:textId="77777777" w:rsidR="009F51B5" w:rsidRPr="009F51B5" w:rsidRDefault="009F51B5" w:rsidP="009F51B5">
      <w:pPr>
        <w:tabs>
          <w:tab w:val="left" w:pos="270"/>
          <w:tab w:val="left" w:pos="531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F51B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Best regards,      </w:t>
      </w:r>
    </w:p>
    <w:p w14:paraId="689AABDA" w14:textId="77777777" w:rsidR="009F51B5" w:rsidRPr="009F51B5" w:rsidRDefault="009F51B5" w:rsidP="009F51B5">
      <w:pPr>
        <w:tabs>
          <w:tab w:val="left" w:pos="270"/>
          <w:tab w:val="left" w:pos="531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F51B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10BFC528" w14:textId="77777777" w:rsidR="009F51B5" w:rsidRPr="009F51B5" w:rsidRDefault="009F51B5" w:rsidP="009F51B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F51B5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0" distR="0" simplePos="0" relativeHeight="251659264" behindDoc="0" locked="0" layoutInCell="1" allowOverlap="1" wp14:anchorId="6DB0D09C" wp14:editId="333FF166">
            <wp:simplePos x="0" y="0"/>
            <wp:positionH relativeFrom="column">
              <wp:posOffset>3987800</wp:posOffset>
            </wp:positionH>
            <wp:positionV relativeFrom="paragraph">
              <wp:posOffset>128905</wp:posOffset>
            </wp:positionV>
            <wp:extent cx="1576070" cy="4762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1B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</w:t>
      </w:r>
      <w:r w:rsidRPr="009F51B5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9525" distL="0" distR="0" wp14:anchorId="371CB24B" wp14:editId="62F0B1B9">
            <wp:extent cx="1009650" cy="638175"/>
            <wp:effectExtent l="0" t="0" r="0" b="0"/>
            <wp:docPr id="3" name="Picture 2" descr="Je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Jean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1B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                                                           </w:t>
      </w:r>
    </w:p>
    <w:p w14:paraId="27FB45C8" w14:textId="77777777" w:rsidR="009F51B5" w:rsidRPr="009F51B5" w:rsidRDefault="009F51B5" w:rsidP="009F51B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F51B5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Olivier Jeanne                                                                Chris Carroll</w:t>
      </w:r>
    </w:p>
    <w:p w14:paraId="66CB6105" w14:textId="12776BD8" w:rsidR="00C30EC2" w:rsidRDefault="00C30EC2" w:rsidP="0041585D"/>
    <w:sectPr w:rsidR="00C3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C2"/>
    <w:rsid w:val="0008509D"/>
    <w:rsid w:val="00137A89"/>
    <w:rsid w:val="0016284A"/>
    <w:rsid w:val="0023065C"/>
    <w:rsid w:val="0027281A"/>
    <w:rsid w:val="002B0CEA"/>
    <w:rsid w:val="002F6005"/>
    <w:rsid w:val="003C3691"/>
    <w:rsid w:val="0041585D"/>
    <w:rsid w:val="004526D7"/>
    <w:rsid w:val="004F219F"/>
    <w:rsid w:val="004F49F4"/>
    <w:rsid w:val="005738F1"/>
    <w:rsid w:val="0063335A"/>
    <w:rsid w:val="00654D19"/>
    <w:rsid w:val="00885B50"/>
    <w:rsid w:val="009F51B5"/>
    <w:rsid w:val="00AF1178"/>
    <w:rsid w:val="00C30EC2"/>
    <w:rsid w:val="00D91254"/>
    <w:rsid w:val="00E32197"/>
    <w:rsid w:val="00EA06FE"/>
    <w:rsid w:val="00F50354"/>
    <w:rsid w:val="00F50987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73B2"/>
  <w15:chartTrackingRefBased/>
  <w15:docId w15:val="{D47E5D04-F7FD-412B-B6C5-3B1B86FB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0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Tongli Zhang</dc:creator>
  <cp:keywords/>
  <dc:description/>
  <cp:lastModifiedBy>Tongli Zhang</cp:lastModifiedBy>
  <cp:revision>9</cp:revision>
  <dcterms:created xsi:type="dcterms:W3CDTF">2018-04-10T02:41:00Z</dcterms:created>
  <dcterms:modified xsi:type="dcterms:W3CDTF">2018-04-10T15:26:00Z</dcterms:modified>
</cp:coreProperties>
</file>