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D9929" w14:textId="77777777" w:rsidR="00A07C15" w:rsidRPr="00C637C3" w:rsidRDefault="007B19EC" w:rsidP="00686A59">
      <w:pPr>
        <w:jc w:val="center"/>
        <w:rPr>
          <w:b/>
          <w:sz w:val="28"/>
          <w:szCs w:val="28"/>
        </w:rPr>
      </w:pPr>
      <w:r w:rsidRPr="00C637C3">
        <w:rPr>
          <w:b/>
          <w:sz w:val="28"/>
          <w:szCs w:val="28"/>
        </w:rPr>
        <w:t>Predicting GOP Congressional Campaign Performance</w:t>
      </w:r>
    </w:p>
    <w:p w14:paraId="72A72028" w14:textId="77777777" w:rsidR="00886232" w:rsidRDefault="00886232" w:rsidP="00886232"/>
    <w:p w14:paraId="0368371B" w14:textId="088C5F0E" w:rsidR="009671D5" w:rsidRPr="00C637C3" w:rsidRDefault="00427571" w:rsidP="00886232">
      <w:pPr>
        <w:jc w:val="center"/>
      </w:pPr>
      <w:r>
        <w:t>June 3</w:t>
      </w:r>
      <w:r w:rsidR="009671D5" w:rsidRPr="00C637C3">
        <w:t>, 2015</w:t>
      </w:r>
    </w:p>
    <w:p w14:paraId="3885EF19" w14:textId="77777777" w:rsidR="001F05F2" w:rsidRPr="00C637C3" w:rsidRDefault="001F05F2"/>
    <w:p w14:paraId="19DEAE3D" w14:textId="77777777" w:rsidR="007B19EC" w:rsidRPr="00FD27C6" w:rsidRDefault="007B19EC" w:rsidP="007B19EC">
      <w:pPr>
        <w:pStyle w:val="ListParagraph"/>
        <w:numPr>
          <w:ilvl w:val="0"/>
          <w:numId w:val="1"/>
        </w:numPr>
        <w:rPr>
          <w:b/>
          <w:sz w:val="28"/>
          <w:szCs w:val="28"/>
        </w:rPr>
      </w:pPr>
      <w:r w:rsidRPr="00FD27C6">
        <w:rPr>
          <w:b/>
          <w:sz w:val="28"/>
          <w:szCs w:val="28"/>
        </w:rPr>
        <w:t>Introduction to Congressional Races</w:t>
      </w:r>
    </w:p>
    <w:p w14:paraId="0ECF19E9" w14:textId="77777777" w:rsidR="007B19EC" w:rsidRDefault="007B19EC" w:rsidP="007B19EC"/>
    <w:p w14:paraId="7B768B81" w14:textId="5CC4E63B" w:rsidR="002908B4" w:rsidRDefault="00662949" w:rsidP="00171846">
      <w:pPr>
        <w:jc w:val="both"/>
      </w:pPr>
      <w:r>
        <w:t xml:space="preserve">Elections for the U.S. House of Representatives occur every first Tuesday in November of even numbered years. Predicting the precise outcome of any one of the 435 </w:t>
      </w:r>
      <w:r w:rsidR="0090366D">
        <w:t>elections</w:t>
      </w:r>
      <w:r w:rsidR="008516BA">
        <w:rPr>
          <w:rStyle w:val="FootnoteReference"/>
        </w:rPr>
        <w:footnoteReference w:id="1"/>
      </w:r>
      <w:r w:rsidR="0090366D">
        <w:t xml:space="preserve"> for voting members</w:t>
      </w:r>
      <w:r w:rsidR="008516BA">
        <w:t xml:space="preserve"> requires considering hundreds or thousands of unique and mostly </w:t>
      </w:r>
      <w:r w:rsidR="00195B80">
        <w:t xml:space="preserve">qualitative </w:t>
      </w:r>
      <w:r w:rsidR="008516BA">
        <w:t>factors like candidate quality, voter attitude</w:t>
      </w:r>
      <w:r w:rsidR="00195B80">
        <w:t>s, perceptions of important issues, and effectiveness of the campaign itself. Predicting the results accurately can win indi</w:t>
      </w:r>
      <w:r w:rsidR="00FF6EFC">
        <w:t>viduals acclaim</w:t>
      </w:r>
      <w:r w:rsidR="00195B80">
        <w:rPr>
          <w:rStyle w:val="FootnoteReference"/>
        </w:rPr>
        <w:footnoteReference w:id="2"/>
      </w:r>
      <w:r w:rsidR="00195B80">
        <w:t xml:space="preserve"> </w:t>
      </w:r>
      <w:r w:rsidR="00427571">
        <w:t xml:space="preserve">but </w:t>
      </w:r>
      <w:r w:rsidR="00FF6EFC">
        <w:t xml:space="preserve">it is much easier to do so for national and statewide campaigns than for every congressional race. </w:t>
      </w:r>
      <w:r w:rsidR="002908B4">
        <w:t>While there is often a plethora of information and data available for Presidential races, and even Senate campaigns (robust and regular polling, news coverage of events and their consequences) there is often very little of that same information available to the public for congressional races.</w:t>
      </w:r>
    </w:p>
    <w:p w14:paraId="2337D3DD" w14:textId="77777777" w:rsidR="002908B4" w:rsidRDefault="002908B4" w:rsidP="00171846">
      <w:pPr>
        <w:jc w:val="both"/>
      </w:pPr>
    </w:p>
    <w:p w14:paraId="7DABFE78" w14:textId="1093DEB0" w:rsidR="00FF6EFC" w:rsidRDefault="00F3429C" w:rsidP="00171846">
      <w:pPr>
        <w:jc w:val="both"/>
      </w:pPr>
      <w:r>
        <w:t>For two key reasons</w:t>
      </w:r>
      <w:r w:rsidR="00FF6EFC">
        <w:t>, focus</w:t>
      </w:r>
      <w:r>
        <w:t>ing</w:t>
      </w:r>
      <w:r w:rsidR="00FF6EFC">
        <w:t xml:space="preserve"> on every co</w:t>
      </w:r>
      <w:r>
        <w:t>ngressional race is not a priority because of their</w:t>
      </w:r>
      <w:r w:rsidR="00FF6EFC">
        <w:t xml:space="preserve"> </w:t>
      </w:r>
      <w:r>
        <w:t>predictability:</w:t>
      </w:r>
      <w:r w:rsidR="0022030C">
        <w:t xml:space="preserve"> both </w:t>
      </w:r>
      <w:r w:rsidR="00FF6EFC">
        <w:t xml:space="preserve">the power of incumbency </w:t>
      </w:r>
      <w:r w:rsidR="0022030C">
        <w:t xml:space="preserve">and partisan leaning of the district </w:t>
      </w:r>
      <w:r w:rsidR="00FF6EFC">
        <w:t xml:space="preserve">play outsized roles in whether or not a congressional </w:t>
      </w:r>
      <w:r w:rsidR="005F32A4">
        <w:t>campaign</w:t>
      </w:r>
      <w:r w:rsidR="00FF6EFC">
        <w:t xml:space="preserve"> is successful.</w:t>
      </w:r>
      <w:r w:rsidR="001271F7">
        <w:t xml:space="preserve"> People hate congress but love their congressman, </w:t>
      </w:r>
      <w:r w:rsidR="00B64FBA">
        <w:t>which is why 90</w:t>
      </w:r>
      <w:r w:rsidR="001271F7">
        <w:t>% of incumbent congressmen won re-election in 201</w:t>
      </w:r>
      <w:r w:rsidR="00B64FBA">
        <w:t>2</w:t>
      </w:r>
      <w:r w:rsidR="001271F7">
        <w:rPr>
          <w:rStyle w:val="FootnoteReference"/>
        </w:rPr>
        <w:footnoteReference w:id="3"/>
      </w:r>
      <w:r w:rsidR="001271F7">
        <w:t>.  Even in wave elections like 2010, 85% of incumbents won re-election.</w:t>
      </w:r>
    </w:p>
    <w:p w14:paraId="16F9EE44" w14:textId="77777777" w:rsidR="002908B4" w:rsidRDefault="002908B4" w:rsidP="00171846">
      <w:pPr>
        <w:jc w:val="both"/>
      </w:pPr>
    </w:p>
    <w:p w14:paraId="2901375C" w14:textId="4A4912A4" w:rsidR="005F4AE3" w:rsidRDefault="005F4AE3" w:rsidP="00171846">
      <w:pPr>
        <w:jc w:val="both"/>
      </w:pPr>
      <w:r>
        <w:t xml:space="preserve">Secondly, the partisanship of the congressional district has a tendency to overweigh other factors: Democrats vote for Democrats, and Republicans vote for Republicans, and if there are enough of one party in a district, the other party’s candidate is irrelevant.  This feature, </w:t>
      </w:r>
      <w:r w:rsidR="00CD358B">
        <w:t>called the Partisan Voter Index (PVI), is a</w:t>
      </w:r>
      <w:r w:rsidR="00E2033B">
        <w:t xml:space="preserve"> </w:t>
      </w:r>
      <w:r>
        <w:t xml:space="preserve">function of both the partisan voter registration of the district and the performance of presidential candidates, makes </w:t>
      </w:r>
      <w:r w:rsidR="004E5D54">
        <w:t>predicting the outcome of seats where there is no incumbent (op</w:t>
      </w:r>
      <w:r w:rsidR="00E2033B">
        <w:t>en seats), also relatively easy when the PVI is sufficiently favorable to a party.</w:t>
      </w:r>
    </w:p>
    <w:p w14:paraId="2EE2FE54" w14:textId="77777777" w:rsidR="004E5D54" w:rsidRDefault="004E5D54" w:rsidP="00171846">
      <w:pPr>
        <w:jc w:val="both"/>
      </w:pPr>
    </w:p>
    <w:p w14:paraId="775B2B63" w14:textId="1385D198" w:rsidR="009218B0" w:rsidRDefault="009218B0" w:rsidP="00171846">
      <w:pPr>
        <w:jc w:val="both"/>
      </w:pPr>
      <w:r>
        <w:t xml:space="preserve">However, tendencies are not perfect predictors, and identifying </w:t>
      </w:r>
      <w:r w:rsidR="00921BB6">
        <w:t>other factors that can influence the outcome of an election can help outside groups make better decisions.</w:t>
      </w:r>
    </w:p>
    <w:p w14:paraId="1DB301DD" w14:textId="77777777" w:rsidR="009218B0" w:rsidRDefault="009218B0" w:rsidP="007B19EC"/>
    <w:p w14:paraId="0602683B" w14:textId="66CFC3A0" w:rsidR="0022030C" w:rsidRPr="00620939" w:rsidRDefault="0022030C" w:rsidP="007B19EC">
      <w:pPr>
        <w:rPr>
          <w:b/>
        </w:rPr>
      </w:pPr>
      <w:r w:rsidRPr="00620939">
        <w:rPr>
          <w:b/>
        </w:rPr>
        <w:t>1.1</w:t>
      </w:r>
      <w:r w:rsidRPr="00620939">
        <w:rPr>
          <w:b/>
        </w:rPr>
        <w:tab/>
        <w:t>Why Better Information Matters</w:t>
      </w:r>
    </w:p>
    <w:p w14:paraId="0DD2C36F" w14:textId="77777777" w:rsidR="002908B4" w:rsidRDefault="002908B4" w:rsidP="007B19EC"/>
    <w:p w14:paraId="0F8A7B8B" w14:textId="77777777" w:rsidR="00555701" w:rsidRDefault="00884B70" w:rsidP="00F72137">
      <w:pPr>
        <w:jc w:val="both"/>
      </w:pPr>
      <w:r>
        <w:t>In 2014, non-campaign organizations (Super PACs, social welfare organizations, party committees, etc.)</w:t>
      </w:r>
      <w:r w:rsidR="00E31AA7">
        <w:t xml:space="preserve"> spent </w:t>
      </w:r>
      <w:r>
        <w:t xml:space="preserve">over $790 million </w:t>
      </w:r>
      <w:r w:rsidR="00E31AA7">
        <w:t>on congressional races to influence outcomes.</w:t>
      </w:r>
      <w:r>
        <w:rPr>
          <w:rStyle w:val="FootnoteReference"/>
        </w:rPr>
        <w:footnoteReference w:id="4"/>
      </w:r>
      <w:r>
        <w:t xml:space="preserve"> </w:t>
      </w:r>
      <w:r w:rsidR="00212ED0">
        <w:t>T</w:t>
      </w:r>
      <w:r w:rsidR="00555701">
        <w:t>hat money comes from hundreds of thousands of individual donors who demand that their money is put to the most efficient use.</w:t>
      </w:r>
    </w:p>
    <w:p w14:paraId="12ADADBD" w14:textId="77777777" w:rsidR="009E2617" w:rsidRDefault="009E2617" w:rsidP="00F72137">
      <w:pPr>
        <w:jc w:val="both"/>
      </w:pPr>
    </w:p>
    <w:p w14:paraId="2BEEF3D1" w14:textId="42D93825" w:rsidR="009E2617" w:rsidRDefault="009E2617" w:rsidP="00F72137">
      <w:pPr>
        <w:jc w:val="both"/>
      </w:pPr>
      <w:r>
        <w:t xml:space="preserve">However, many of these decisions are currently made </w:t>
      </w:r>
      <w:r w:rsidR="00427571">
        <w:t>with imperfect and incomplete information</w:t>
      </w:r>
      <w:r>
        <w:t xml:space="preserve">.  Polling on congressional races is thin, and even then, making decisions about which races to poll </w:t>
      </w:r>
      <w:r>
        <w:lastRenderedPageBreak/>
        <w:t>and when are done on intu</w:t>
      </w:r>
      <w:r w:rsidR="00F10BBE">
        <w:t>ition, experience, generalizations, and perceptions often created through selected media consumption.</w:t>
      </w:r>
    </w:p>
    <w:p w14:paraId="70FB2345" w14:textId="77777777" w:rsidR="00F10BBE" w:rsidRDefault="00F10BBE" w:rsidP="00F72137">
      <w:pPr>
        <w:jc w:val="both"/>
      </w:pPr>
    </w:p>
    <w:p w14:paraId="422DCC39" w14:textId="7B03B6CF" w:rsidR="00CE311B" w:rsidRDefault="00427571" w:rsidP="00F72137">
      <w:pPr>
        <w:jc w:val="both"/>
      </w:pPr>
      <w:r>
        <w:t xml:space="preserve">However, there are indicators that exist. </w:t>
      </w:r>
      <w:r w:rsidR="00F10BBE">
        <w:t>Federal election law requires regular filing of campaign finance reports, often an excellent indicator of support.  However, those reports are generally required to be filed on the 15</w:t>
      </w:r>
      <w:r w:rsidR="00F10BBE" w:rsidRPr="00F10BBE">
        <w:rPr>
          <w:vertAlign w:val="superscript"/>
        </w:rPr>
        <w:t>th</w:t>
      </w:r>
      <w:r w:rsidR="00F10BBE">
        <w:t xml:space="preserve"> of each month following the end of a quarter (Q1 filed on April 15, Q2 filed on July 15, Q3 filed on October 15).  Because the 3</w:t>
      </w:r>
      <w:r w:rsidR="00F10BBE" w:rsidRPr="00F10BBE">
        <w:rPr>
          <w:vertAlign w:val="superscript"/>
        </w:rPr>
        <w:t>rd</w:t>
      </w:r>
      <w:r w:rsidR="00F10BBE">
        <w:t xml:space="preserve"> quarter report is filed just weeks before the election, it is often the focus </w:t>
      </w:r>
      <w:r w:rsidR="00886232">
        <w:t>of media scrutiny, but useless in making meaningful decisions that late in the election cycle.  Therefore, the 2</w:t>
      </w:r>
      <w:r w:rsidR="00886232" w:rsidRPr="00886232">
        <w:rPr>
          <w:vertAlign w:val="superscript"/>
        </w:rPr>
        <w:t>nd</w:t>
      </w:r>
      <w:r w:rsidR="00886232">
        <w:t xml:space="preserve"> quarter report, filed on July 15, is where we are looking to gain insight into how a campaign will perform in November.</w:t>
      </w:r>
    </w:p>
    <w:p w14:paraId="537C144E" w14:textId="77777777" w:rsidR="00F10BBE" w:rsidRDefault="00F10BBE" w:rsidP="007B19EC"/>
    <w:p w14:paraId="72006EA3" w14:textId="67D7FB00" w:rsidR="00CE311B" w:rsidRPr="00620939" w:rsidRDefault="00CE311B" w:rsidP="007B19EC">
      <w:pPr>
        <w:rPr>
          <w:b/>
        </w:rPr>
      </w:pPr>
      <w:r w:rsidRPr="00620939">
        <w:rPr>
          <w:b/>
        </w:rPr>
        <w:t>1.2</w:t>
      </w:r>
      <w:r w:rsidRPr="00620939">
        <w:rPr>
          <w:b/>
        </w:rPr>
        <w:tab/>
        <w:t xml:space="preserve">Can Finance Data Be </w:t>
      </w:r>
      <w:proofErr w:type="gramStart"/>
      <w:r w:rsidRPr="00620939">
        <w:rPr>
          <w:b/>
        </w:rPr>
        <w:t>An</w:t>
      </w:r>
      <w:proofErr w:type="gramEnd"/>
      <w:r w:rsidRPr="00620939">
        <w:rPr>
          <w:b/>
        </w:rPr>
        <w:t xml:space="preserve"> Early Warning Indicator?</w:t>
      </w:r>
    </w:p>
    <w:p w14:paraId="15A14B71" w14:textId="77777777" w:rsidR="00CE311B" w:rsidRDefault="00CE311B" w:rsidP="007B19EC"/>
    <w:p w14:paraId="63C51DBE" w14:textId="58892FC3" w:rsidR="00CE311B" w:rsidRDefault="007D5B5E" w:rsidP="00F72137">
      <w:pPr>
        <w:jc w:val="both"/>
      </w:pPr>
      <w:r>
        <w:t>The question we</w:t>
      </w:r>
      <w:r w:rsidR="00CE311B">
        <w:t>’ll be attempting to answer is what aspects of campaign finance data, available by July 15</w:t>
      </w:r>
      <w:r w:rsidR="00CE311B" w:rsidRPr="00CE311B">
        <w:rPr>
          <w:vertAlign w:val="superscript"/>
        </w:rPr>
        <w:t>th</w:t>
      </w:r>
      <w:r w:rsidR="00CE311B">
        <w:t xml:space="preserve"> of the election year, be used to help predict the performance of </w:t>
      </w:r>
      <w:r w:rsidR="006370FD">
        <w:t>a Republican congressional candidate.</w:t>
      </w:r>
      <w:r w:rsidR="00427571">
        <w:rPr>
          <w:rStyle w:val="FootnoteReference"/>
        </w:rPr>
        <w:footnoteReference w:id="5"/>
      </w:r>
    </w:p>
    <w:p w14:paraId="636DC216" w14:textId="77777777" w:rsidR="00427571" w:rsidRDefault="00427571" w:rsidP="00F72137">
      <w:pPr>
        <w:jc w:val="both"/>
      </w:pPr>
    </w:p>
    <w:p w14:paraId="72B1F30C" w14:textId="0B980E6A" w:rsidR="00427571" w:rsidRDefault="00037590" w:rsidP="00427571">
      <w:pPr>
        <w:jc w:val="both"/>
      </w:pPr>
      <w:r>
        <w:t xml:space="preserve">We will do this by using a combination of district and campaign finance feature to predict the percentage of vote received by the GOP candidate in the </w:t>
      </w:r>
      <w:r w:rsidR="00427571">
        <w:t>general election.</w:t>
      </w:r>
      <w:r>
        <w:rPr>
          <w:rStyle w:val="FootnoteReference"/>
        </w:rPr>
        <w:footnoteReference w:id="6"/>
      </w:r>
    </w:p>
    <w:p w14:paraId="2FC618E2" w14:textId="77777777" w:rsidR="00427571" w:rsidRDefault="00427571" w:rsidP="007B19EC"/>
    <w:p w14:paraId="40492501" w14:textId="77777777" w:rsidR="007B19EC" w:rsidRPr="00FD27C6" w:rsidRDefault="007B19EC" w:rsidP="007B19EC">
      <w:pPr>
        <w:pStyle w:val="ListParagraph"/>
        <w:numPr>
          <w:ilvl w:val="0"/>
          <w:numId w:val="1"/>
        </w:numPr>
        <w:rPr>
          <w:b/>
          <w:sz w:val="28"/>
          <w:szCs w:val="28"/>
        </w:rPr>
      </w:pPr>
      <w:r w:rsidRPr="00FD27C6">
        <w:rPr>
          <w:b/>
          <w:sz w:val="28"/>
          <w:szCs w:val="28"/>
        </w:rPr>
        <w:t>Data Mining</w:t>
      </w:r>
    </w:p>
    <w:p w14:paraId="1AE42899" w14:textId="77777777" w:rsidR="008F288B" w:rsidRDefault="008F288B" w:rsidP="008F288B"/>
    <w:p w14:paraId="05336A75" w14:textId="0A0A39D4" w:rsidR="008F288B" w:rsidRDefault="00AF28DB" w:rsidP="00F72137">
      <w:pPr>
        <w:jc w:val="both"/>
      </w:pPr>
      <w:r>
        <w:t xml:space="preserve">When gathering data on congressional races, we needed three discrete sets of data that could be effectively merged together: census data on the characteristics of the district, the partisanship voting history of the district (including congressional election results), and campaign finance data for the </w:t>
      </w:r>
      <w:r w:rsidR="00FB2235">
        <w:t>race-specific features that we are going to use to attempt to predict election results.</w:t>
      </w:r>
    </w:p>
    <w:p w14:paraId="634C0100" w14:textId="77777777" w:rsidR="006C2DBD" w:rsidRDefault="006C2DBD" w:rsidP="00F72137">
      <w:pPr>
        <w:jc w:val="both"/>
      </w:pPr>
    </w:p>
    <w:p w14:paraId="75CF45BF" w14:textId="0E7931B8" w:rsidR="006C2DBD" w:rsidRDefault="009A2647" w:rsidP="00F72137">
      <w:pPr>
        <w:jc w:val="both"/>
      </w:pPr>
      <w:r w:rsidRPr="000B12F7">
        <w:t>U.S. Census Bureau</w:t>
      </w:r>
      <w:r w:rsidR="001E228E" w:rsidRPr="000B12F7">
        <w:t>:</w:t>
      </w:r>
      <w:r w:rsidR="001E228E" w:rsidRPr="001E228E">
        <w:rPr>
          <w:b/>
        </w:rPr>
        <w:t xml:space="preserve"> </w:t>
      </w:r>
      <w:r w:rsidR="006C2DBD">
        <w:t xml:space="preserve">Census data was acquired using API access to the American Community Survey 3-year statistics for congressional </w:t>
      </w:r>
      <w:r w:rsidR="00A039F0">
        <w:t>districts.  The chosen features included population, Caucasian population, median income, median home value, and median rent value.</w:t>
      </w:r>
      <w:r w:rsidR="005C7265">
        <w:rPr>
          <w:rStyle w:val="FootnoteReference"/>
        </w:rPr>
        <w:footnoteReference w:id="7"/>
      </w:r>
    </w:p>
    <w:p w14:paraId="5CD3190F" w14:textId="77777777" w:rsidR="00A039F0" w:rsidRDefault="00A039F0" w:rsidP="00F72137">
      <w:pPr>
        <w:jc w:val="both"/>
      </w:pPr>
    </w:p>
    <w:p w14:paraId="15B0DC05" w14:textId="655526F5" w:rsidR="00AF28DB" w:rsidRDefault="009A2647" w:rsidP="00F72137">
      <w:pPr>
        <w:jc w:val="both"/>
      </w:pPr>
      <w:r w:rsidRPr="000B12F7">
        <w:t>Cook Political Report</w:t>
      </w:r>
      <w:r w:rsidR="00970CD4" w:rsidRPr="000B12F7">
        <w:t>:</w:t>
      </w:r>
      <w:r w:rsidR="00970CD4">
        <w:t xml:space="preserve"> The Partisan Voter Index (PVI) is a score calculated by the respected C</w:t>
      </w:r>
      <w:r w:rsidR="00A15768">
        <w:t xml:space="preserve">ook Political Report </w:t>
      </w:r>
      <w:r w:rsidR="008A5FA7">
        <w:t xml:space="preserve">that creates </w:t>
      </w:r>
      <w:proofErr w:type="gramStart"/>
      <w:r w:rsidR="008A5FA7">
        <w:t>an</w:t>
      </w:r>
      <w:proofErr w:type="gramEnd"/>
      <w:r w:rsidR="008A5FA7">
        <w:t xml:space="preserve"> rating, expressed as </w:t>
      </w:r>
      <w:proofErr w:type="spellStart"/>
      <w:r w:rsidR="008A5FA7">
        <w:t>D+x</w:t>
      </w:r>
      <w:proofErr w:type="spellEnd"/>
      <w:r w:rsidR="008A5FA7">
        <w:t xml:space="preserve"> or </w:t>
      </w:r>
      <w:proofErr w:type="spellStart"/>
      <w:r w:rsidR="008A5FA7">
        <w:t>R+x</w:t>
      </w:r>
      <w:proofErr w:type="spellEnd"/>
      <w:r w:rsidR="008A5FA7">
        <w:t xml:space="preserve"> where </w:t>
      </w:r>
      <w:r w:rsidR="00430FBA">
        <w:t>x is the degree of partisanship</w:t>
      </w:r>
      <w:r w:rsidR="008A5FA7">
        <w:t>.</w:t>
      </w:r>
      <w:r w:rsidR="00430FBA">
        <w:rPr>
          <w:rStyle w:val="FootnoteReference"/>
        </w:rPr>
        <w:footnoteReference w:id="8"/>
      </w:r>
      <w:r w:rsidR="008A5FA7">
        <w:t xml:space="preserve"> Because we are looking at only the performance of GOP candidates, the PVI has been normalized to positive </w:t>
      </w:r>
      <w:r w:rsidR="00D42A01">
        <w:t xml:space="preserve">for GOP-leaning districts and negative for </w:t>
      </w:r>
      <w:r w:rsidR="004E6F87">
        <w:t>Democrat-leaning districts. See Figur</w:t>
      </w:r>
      <w:r w:rsidR="00C65EF3">
        <w:t>e 3.1</w:t>
      </w:r>
      <w:r w:rsidR="004E6F87">
        <w:t xml:space="preserve"> for distribution of PVI scores.</w:t>
      </w:r>
    </w:p>
    <w:p w14:paraId="614101BA" w14:textId="77777777" w:rsidR="001E228E" w:rsidRDefault="001E228E" w:rsidP="00F72137">
      <w:pPr>
        <w:jc w:val="both"/>
      </w:pPr>
    </w:p>
    <w:p w14:paraId="15EC1F07" w14:textId="614F3B50" w:rsidR="001E228E" w:rsidRDefault="009A2647" w:rsidP="00F72137">
      <w:pPr>
        <w:jc w:val="both"/>
      </w:pPr>
      <w:r w:rsidRPr="000B12F7">
        <w:t>Federal Election Commission</w:t>
      </w:r>
      <w:r w:rsidR="00970CD4" w:rsidRPr="000B12F7">
        <w:t>:</w:t>
      </w:r>
      <w:r w:rsidR="00970CD4">
        <w:t xml:space="preserve"> </w:t>
      </w:r>
      <w:r w:rsidR="00A15768">
        <w:t>The Federal Election Commission has helpfully compiled recent historical summaries of campaign finance reports</w:t>
      </w:r>
      <w:r w:rsidR="00A15768">
        <w:rPr>
          <w:rStyle w:val="FootnoteReference"/>
        </w:rPr>
        <w:footnoteReference w:id="9"/>
      </w:r>
      <w:r w:rsidR="00A15768">
        <w:t xml:space="preserve">, including the report we are interested in (Q2 of election year).  These reports, however, did not include reference to the specific congressional district.  Consequently, the data had to be matched manually to </w:t>
      </w:r>
      <w:r w:rsidR="00B73A3D">
        <w:t>races, which creates the risk for errors, although duplication and cross-verification of data has hopefully eliminated any error.</w:t>
      </w:r>
    </w:p>
    <w:p w14:paraId="63D0F699" w14:textId="77777777" w:rsidR="00970CD4" w:rsidRDefault="00970CD4" w:rsidP="008F288B"/>
    <w:p w14:paraId="511D8069" w14:textId="77777777" w:rsidR="007B19EC" w:rsidRPr="00FD27C6" w:rsidRDefault="007B19EC" w:rsidP="007B19EC">
      <w:pPr>
        <w:pStyle w:val="ListParagraph"/>
        <w:numPr>
          <w:ilvl w:val="0"/>
          <w:numId w:val="1"/>
        </w:numPr>
        <w:rPr>
          <w:b/>
          <w:sz w:val="28"/>
          <w:szCs w:val="28"/>
        </w:rPr>
      </w:pPr>
      <w:r w:rsidRPr="00FD27C6">
        <w:rPr>
          <w:b/>
          <w:sz w:val="28"/>
          <w:szCs w:val="28"/>
        </w:rPr>
        <w:t>Data Features</w:t>
      </w:r>
    </w:p>
    <w:p w14:paraId="23972DF9" w14:textId="77777777" w:rsidR="00F5093D" w:rsidRDefault="00F5093D" w:rsidP="00F5093D">
      <w:pPr>
        <w:rPr>
          <w:rFonts w:ascii="Courier" w:hAnsi="Courier" w:cs="Courier New"/>
        </w:rPr>
      </w:pPr>
    </w:p>
    <w:p w14:paraId="359AFE20" w14:textId="02B75252" w:rsidR="00F42BB7" w:rsidRDefault="001C2906" w:rsidP="00427571">
      <w:pPr>
        <w:jc w:val="both"/>
      </w:pPr>
      <w:r>
        <w:t>When looking at which features are more or less</w:t>
      </w:r>
      <w:r w:rsidR="00F01B4C">
        <w:t xml:space="preserve"> indicative of voter behavior, we</w:t>
      </w:r>
      <w:r>
        <w:t xml:space="preserve"> found that partisan performance strongly </w:t>
      </w:r>
      <w:r w:rsidR="00236A21">
        <w:t>correlates to home value</w:t>
      </w:r>
      <w:r w:rsidR="00F42BB7">
        <w:t xml:space="preserve"> (Figure</w:t>
      </w:r>
      <w:r w:rsidR="00DE1BF7">
        <w:t>s</w:t>
      </w:r>
      <w:r w:rsidR="00F42BB7">
        <w:t xml:space="preserve"> 3.2</w:t>
      </w:r>
      <w:r w:rsidR="00DE1BF7">
        <w:t>, 3.3</w:t>
      </w:r>
      <w:r w:rsidR="00236A21">
        <w:t>), white/Caucasian population</w:t>
      </w:r>
      <w:r w:rsidR="00DE1BF7">
        <w:t xml:space="preserve"> (F</w:t>
      </w:r>
      <w:r w:rsidR="00F42BB7">
        <w:t>igure 3.4)</w:t>
      </w:r>
      <w:r w:rsidR="00236A21">
        <w:t>, and the population density of the district</w:t>
      </w:r>
      <w:r w:rsidR="007C2D37">
        <w:rPr>
          <w:rStyle w:val="FootnoteReference"/>
        </w:rPr>
        <w:footnoteReference w:id="10"/>
      </w:r>
      <w:r w:rsidR="00DE1BF7">
        <w:t xml:space="preserve"> (Figure</w:t>
      </w:r>
      <w:r w:rsidR="00F42BB7">
        <w:t xml:space="preserve"> 3.5</w:t>
      </w:r>
      <w:r w:rsidR="00236A21">
        <w:t>).</w:t>
      </w:r>
    </w:p>
    <w:p w14:paraId="11D04D5A" w14:textId="65C74044" w:rsidR="00F42BB7" w:rsidRDefault="00F42BB7" w:rsidP="00F42BB7">
      <w:pPr>
        <w:jc w:val="center"/>
      </w:pPr>
      <w:r w:rsidRPr="00F42BB7">
        <w:rPr>
          <w:bCs/>
          <w:noProof/>
        </w:rPr>
        <w:drawing>
          <wp:inline distT="0" distB="0" distL="0" distR="0" wp14:anchorId="27F95C87" wp14:editId="5DEE5AA0">
            <wp:extent cx="4393178" cy="3295353"/>
            <wp:effectExtent l="0" t="0" r="1270" b="6985"/>
            <wp:docPr id="6" name="Content Placeholder 3" descr="Untitle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descr="Untitled.png"/>
                    <pic:cNvPicPr>
                      <a:picLocks noGrp="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2420" cy="3302286"/>
                    </a:xfrm>
                    <a:prstGeom prst="rect">
                      <a:avLst/>
                    </a:prstGeom>
                    <a:noFill/>
                    <a:ln>
                      <a:noFill/>
                    </a:ln>
                    <a:extLst>
                      <a:ext uri="{FAA26D3D-D897-4be2-8F04-BA451C77F1D7}">
                        <ma14:placeholderFlag xmlns:ma14="http://schemas.microsoft.com/office/mac/drawingml/2011/main" val="1"/>
                      </a:ext>
                    </a:extLst>
                  </pic:spPr>
                </pic:pic>
              </a:graphicData>
            </a:graphic>
          </wp:inline>
        </w:drawing>
      </w:r>
    </w:p>
    <w:p w14:paraId="3A66FFEA" w14:textId="77777777" w:rsidR="00427571" w:rsidRPr="00F42BB7" w:rsidRDefault="00427571" w:rsidP="00427571">
      <w:pPr>
        <w:jc w:val="both"/>
        <w:rPr>
          <w:i/>
        </w:rPr>
      </w:pPr>
      <w:r w:rsidRPr="00F42BB7">
        <w:rPr>
          <w:b/>
          <w:i/>
        </w:rPr>
        <w:t>Figure 3.1:</w:t>
      </w:r>
      <w:r w:rsidRPr="00F42BB7">
        <w:rPr>
          <w:i/>
        </w:rPr>
        <w:t xml:space="preserve"> Distribution of Partisan Voter Index across all congressional districts.</w:t>
      </w:r>
    </w:p>
    <w:p w14:paraId="357D72E5" w14:textId="77777777" w:rsidR="001C2906" w:rsidRPr="001C2906" w:rsidRDefault="001C2906" w:rsidP="00E501CC">
      <w:pPr>
        <w:rPr>
          <w:b/>
        </w:rPr>
      </w:pPr>
    </w:p>
    <w:p w14:paraId="111E89EF" w14:textId="76B49AA7" w:rsidR="009E27D6" w:rsidRDefault="00ED2BE8" w:rsidP="00B1387B">
      <w:pPr>
        <w:jc w:val="center"/>
      </w:pPr>
      <w:r w:rsidRPr="00ED2BE8">
        <w:rPr>
          <w:noProof/>
        </w:rPr>
        <w:drawing>
          <wp:inline distT="0" distB="0" distL="0" distR="0" wp14:anchorId="7CFE449D" wp14:editId="25C3F649">
            <wp:extent cx="2743200" cy="2057400"/>
            <wp:effectExtent l="0" t="0" r="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Untitle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a:extLst/>
                  </pic:spPr>
                </pic:pic>
              </a:graphicData>
            </a:graphic>
          </wp:inline>
        </w:drawing>
      </w:r>
      <w:r w:rsidRPr="00ED2BE8">
        <w:rPr>
          <w:noProof/>
        </w:rPr>
        <w:drawing>
          <wp:inline distT="0" distB="0" distL="0" distR="0" wp14:anchorId="0A5F27DE" wp14:editId="2FC57D41">
            <wp:extent cx="2743200" cy="2057400"/>
            <wp:effectExtent l="0" t="0" r="0" b="0"/>
            <wp:docPr id="3"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titled.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a:extLst/>
                  </pic:spPr>
                </pic:pic>
              </a:graphicData>
            </a:graphic>
          </wp:inline>
        </w:drawing>
      </w:r>
    </w:p>
    <w:p w14:paraId="4031718D" w14:textId="77777777" w:rsidR="00427571" w:rsidRPr="005F1843" w:rsidRDefault="00427571" w:rsidP="00427571">
      <w:pPr>
        <w:jc w:val="both"/>
        <w:rPr>
          <w:i/>
        </w:rPr>
      </w:pPr>
      <w:r w:rsidRPr="005F1843">
        <w:rPr>
          <w:b/>
          <w:i/>
        </w:rPr>
        <w:t>Figure 3.</w:t>
      </w:r>
      <w:r>
        <w:rPr>
          <w:b/>
          <w:i/>
        </w:rPr>
        <w:t>2 and 3.3</w:t>
      </w:r>
      <w:r w:rsidRPr="005F1843">
        <w:rPr>
          <w:b/>
          <w:i/>
        </w:rPr>
        <w:t xml:space="preserve">: </w:t>
      </w:r>
      <w:r w:rsidRPr="005F1843">
        <w:rPr>
          <w:i/>
        </w:rPr>
        <w:t>Correlation between median home value and GOP Presidential candidate performance in 2008 and 201</w:t>
      </w:r>
      <w:r>
        <w:rPr>
          <w:i/>
        </w:rPr>
        <w:t>2</w:t>
      </w:r>
    </w:p>
    <w:p w14:paraId="35B8AD38" w14:textId="77777777" w:rsidR="00232546" w:rsidRPr="00232546" w:rsidRDefault="00232546" w:rsidP="000C3F48">
      <w:pPr>
        <w:rPr>
          <w:i/>
        </w:rPr>
      </w:pPr>
    </w:p>
    <w:p w14:paraId="69CC1C4B" w14:textId="76D9013C" w:rsidR="00ED2BE8" w:rsidRDefault="00ED2BE8" w:rsidP="009E27D6">
      <w:pPr>
        <w:jc w:val="center"/>
      </w:pPr>
      <w:r w:rsidRPr="00ED2BE8">
        <w:rPr>
          <w:noProof/>
        </w:rPr>
        <w:drawing>
          <wp:inline distT="0" distB="0" distL="0" distR="0" wp14:anchorId="3DE356E0" wp14:editId="5588938F">
            <wp:extent cx="2743200" cy="2057400"/>
            <wp:effectExtent l="0" t="0" r="0" b="0"/>
            <wp:docPr id="2"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Untitled.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a:extLst/>
                  </pic:spPr>
                </pic:pic>
              </a:graphicData>
            </a:graphic>
          </wp:inline>
        </w:drawing>
      </w:r>
      <w:r w:rsidRPr="00ED2BE8">
        <w:rPr>
          <w:noProof/>
        </w:rPr>
        <w:drawing>
          <wp:inline distT="0" distB="0" distL="0" distR="0" wp14:anchorId="1F043296" wp14:editId="778913BC">
            <wp:extent cx="2743200" cy="2057400"/>
            <wp:effectExtent l="0" t="0" r="0" b="0"/>
            <wp:docPr id="5"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Untitled.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a:extLst/>
                  </pic:spPr>
                </pic:pic>
              </a:graphicData>
            </a:graphic>
          </wp:inline>
        </w:drawing>
      </w:r>
    </w:p>
    <w:p w14:paraId="7D747294" w14:textId="77777777" w:rsidR="00F42BB7" w:rsidRDefault="00F42BB7" w:rsidP="00F5093D"/>
    <w:p w14:paraId="5F8925DD" w14:textId="77777777" w:rsidR="00427571" w:rsidRDefault="00427571" w:rsidP="00427571">
      <w:pPr>
        <w:jc w:val="both"/>
        <w:rPr>
          <w:i/>
        </w:rPr>
      </w:pPr>
      <w:r w:rsidRPr="005F1843">
        <w:rPr>
          <w:b/>
          <w:i/>
        </w:rPr>
        <w:t>Figure 3.</w:t>
      </w:r>
      <w:r>
        <w:rPr>
          <w:b/>
          <w:i/>
        </w:rPr>
        <w:t>4 and 3.5</w:t>
      </w:r>
      <w:r w:rsidRPr="005F1843">
        <w:rPr>
          <w:b/>
          <w:i/>
        </w:rPr>
        <w:t xml:space="preserve">: </w:t>
      </w:r>
      <w:r w:rsidRPr="00296CC2">
        <w:rPr>
          <w:i/>
        </w:rPr>
        <w:t>C</w:t>
      </w:r>
      <w:r w:rsidRPr="005F1843">
        <w:rPr>
          <w:i/>
        </w:rPr>
        <w:t>orrelation between white population and population density to Partisan Voter Index score.</w:t>
      </w:r>
    </w:p>
    <w:p w14:paraId="34FCC11C" w14:textId="77777777" w:rsidR="00427571" w:rsidRDefault="00427571" w:rsidP="00F5093D"/>
    <w:p w14:paraId="63B42F86" w14:textId="1251E8CE" w:rsidR="00296C88" w:rsidRDefault="00296C88" w:rsidP="00F72137">
      <w:pPr>
        <w:jc w:val="both"/>
      </w:pPr>
      <w:r>
        <w:t>Because of the high correlation between these characteristics and PVI, the PVI score is a dominant feature in predicting voter behavior, while features like past election results, population density, and district wealth characteristics, become much less significant.</w:t>
      </w:r>
    </w:p>
    <w:p w14:paraId="48BE9032" w14:textId="77777777" w:rsidR="009836A9" w:rsidRDefault="009836A9" w:rsidP="00F72137">
      <w:pPr>
        <w:jc w:val="both"/>
      </w:pPr>
    </w:p>
    <w:p w14:paraId="3FAC6F45" w14:textId="77777777" w:rsidR="00B958CF" w:rsidRDefault="00135464" w:rsidP="00F72137">
      <w:pPr>
        <w:jc w:val="both"/>
      </w:pPr>
      <w:r>
        <w:t xml:space="preserve">After merging all of the data together, we were left with some difficult problems to solve.  Although there are 870 races that occurred in 2012 and 2014, not all of them would be reasonable samples.  The first step was to remove all the races where there was no Democrat v. Republican general election, due to lack of one side fielding a candidate.  Thankfully, this is a common characteristic of districts so heavily partisan that the primary serves as the general election.  Second, because we are looking at financial statements, campaigns where one candidate raised less than $1,000 by </w:t>
      </w:r>
      <w:r w:rsidR="00F82B9F">
        <w:t xml:space="preserve">June 30 were considered too unviable to be considered.  Combined, those account for 375 congressional races over the last 2 cycles. </w:t>
      </w:r>
    </w:p>
    <w:p w14:paraId="0037B6C9" w14:textId="77777777" w:rsidR="00B958CF" w:rsidRDefault="00B958CF" w:rsidP="00F72137">
      <w:pPr>
        <w:jc w:val="both"/>
      </w:pPr>
    </w:p>
    <w:p w14:paraId="3CAC241D" w14:textId="55357E36" w:rsidR="00135464" w:rsidRDefault="00F82B9F" w:rsidP="00F72137">
      <w:pPr>
        <w:jc w:val="both"/>
      </w:pPr>
      <w:r>
        <w:t>We are left, however, with a fairly robust set of 495 observations where 318 observations (64%) fall into the swing-district category, defined in Section 4.2.</w:t>
      </w:r>
    </w:p>
    <w:p w14:paraId="7C144065" w14:textId="77777777" w:rsidR="00B92173" w:rsidRDefault="00B92173" w:rsidP="00F72137">
      <w:pPr>
        <w:jc w:val="both"/>
      </w:pPr>
    </w:p>
    <w:p w14:paraId="3FC50682" w14:textId="3641AE1B" w:rsidR="00B92173" w:rsidRDefault="00102816" w:rsidP="00F72137">
      <w:pPr>
        <w:jc w:val="both"/>
      </w:pPr>
      <w:r>
        <w:t xml:space="preserve">This paper will only, for sake of brevity, discuss the important features. </w:t>
      </w:r>
      <w:r w:rsidR="001E214B">
        <w:t xml:space="preserve">For an explanation of the </w:t>
      </w:r>
      <w:r w:rsidR="00425572">
        <w:t xml:space="preserve">all of the </w:t>
      </w:r>
      <w:r w:rsidR="001E214B">
        <w:t>individual data features that were considered, see the data dictionary.</w:t>
      </w:r>
      <w:r w:rsidR="001E214B">
        <w:rPr>
          <w:rStyle w:val="FootnoteReference"/>
        </w:rPr>
        <w:footnoteReference w:id="11"/>
      </w:r>
    </w:p>
    <w:p w14:paraId="2FF75D5A" w14:textId="77777777" w:rsidR="00B92173" w:rsidRDefault="00B92173" w:rsidP="00F5093D"/>
    <w:p w14:paraId="73D42F4E" w14:textId="77777777" w:rsidR="007B19EC" w:rsidRPr="00902CEC" w:rsidRDefault="007B19EC" w:rsidP="007B19EC">
      <w:pPr>
        <w:pStyle w:val="ListParagraph"/>
        <w:numPr>
          <w:ilvl w:val="0"/>
          <w:numId w:val="1"/>
        </w:numPr>
        <w:rPr>
          <w:b/>
          <w:sz w:val="28"/>
          <w:szCs w:val="28"/>
        </w:rPr>
      </w:pPr>
      <w:r w:rsidRPr="00902CEC">
        <w:rPr>
          <w:b/>
          <w:sz w:val="28"/>
          <w:szCs w:val="28"/>
        </w:rPr>
        <w:t>Visualizing The Indicators</w:t>
      </w:r>
    </w:p>
    <w:p w14:paraId="1CC10237" w14:textId="77777777" w:rsidR="009836A9" w:rsidRDefault="009836A9" w:rsidP="008F288B"/>
    <w:p w14:paraId="59D0A03F" w14:textId="2C679087" w:rsidR="00170858" w:rsidRPr="00F916E0" w:rsidRDefault="00170858" w:rsidP="008F288B">
      <w:pPr>
        <w:rPr>
          <w:b/>
        </w:rPr>
      </w:pPr>
      <w:r w:rsidRPr="00F916E0">
        <w:rPr>
          <w:b/>
        </w:rPr>
        <w:t>4.1</w:t>
      </w:r>
      <w:r w:rsidRPr="00F916E0">
        <w:rPr>
          <w:b/>
        </w:rPr>
        <w:tab/>
        <w:t>The Power of Incumbency</w:t>
      </w:r>
    </w:p>
    <w:p w14:paraId="33A06C4D" w14:textId="77777777" w:rsidR="00170858" w:rsidRDefault="00170858" w:rsidP="008F288B"/>
    <w:p w14:paraId="4AB65794" w14:textId="00068FB9" w:rsidR="00F916E0" w:rsidRDefault="00F916E0" w:rsidP="00F72137">
      <w:pPr>
        <w:jc w:val="both"/>
      </w:pPr>
      <w:r>
        <w:t xml:space="preserve">It can not be over-stated how powerful incumbency is in determining the outcome of an election. </w:t>
      </w:r>
      <w:r w:rsidR="00932E0A">
        <w:t>We categorized the status of each GOP general election candidate as Incumbent (1), Challenger where the incumbent was the Democrat (2), or an open seat where the previous incumbent was not participating in the general election (3).</w:t>
      </w:r>
    </w:p>
    <w:p w14:paraId="7B2D4AE0" w14:textId="77777777" w:rsidR="00F916E0" w:rsidRDefault="00F916E0" w:rsidP="008F288B"/>
    <w:p w14:paraId="504AABD2" w14:textId="524CE12A" w:rsidR="00F916E0" w:rsidRDefault="00F916E0" w:rsidP="00F916E0">
      <w:pPr>
        <w:jc w:val="center"/>
      </w:pPr>
      <w:r>
        <w:rPr>
          <w:noProof/>
        </w:rPr>
        <w:drawing>
          <wp:inline distT="0" distB="0" distL="0" distR="0" wp14:anchorId="16170992" wp14:editId="0676E8C5">
            <wp:extent cx="3657600" cy="2292643"/>
            <wp:effectExtent l="0" t="0" r="0" b="0"/>
            <wp:docPr id="1" name="Picture 1" descr="../data/cong_pred_model/Visualizations/Power%20of%20Incumbency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cong_pred_model/Visualizations/Power%20of%20Incumbency_cl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292643"/>
                    </a:xfrm>
                    <a:prstGeom prst="rect">
                      <a:avLst/>
                    </a:prstGeom>
                    <a:noFill/>
                    <a:ln>
                      <a:noFill/>
                    </a:ln>
                  </pic:spPr>
                </pic:pic>
              </a:graphicData>
            </a:graphic>
          </wp:inline>
        </w:drawing>
      </w:r>
    </w:p>
    <w:p w14:paraId="5562AED1" w14:textId="77777777" w:rsidR="00932E0A" w:rsidRDefault="00932E0A" w:rsidP="00F916E0">
      <w:pPr>
        <w:jc w:val="center"/>
      </w:pPr>
    </w:p>
    <w:p w14:paraId="120452AD" w14:textId="3AAFA2B8" w:rsidR="00170858" w:rsidRPr="00F916E0" w:rsidRDefault="00170858" w:rsidP="008F288B">
      <w:pPr>
        <w:rPr>
          <w:b/>
        </w:rPr>
      </w:pPr>
      <w:r w:rsidRPr="00F916E0">
        <w:rPr>
          <w:b/>
        </w:rPr>
        <w:t>4.2</w:t>
      </w:r>
      <w:r w:rsidRPr="00F916E0">
        <w:rPr>
          <w:b/>
        </w:rPr>
        <w:tab/>
        <w:t>The Power of Partisanship</w:t>
      </w:r>
    </w:p>
    <w:p w14:paraId="4AE47D81" w14:textId="77777777" w:rsidR="00170858" w:rsidRDefault="00170858" w:rsidP="008F288B"/>
    <w:p w14:paraId="65CA8E34" w14:textId="6D0FA09F" w:rsidR="00BC23DC" w:rsidRDefault="00BC23DC" w:rsidP="00F72137">
      <w:pPr>
        <w:jc w:val="both"/>
      </w:pPr>
      <w:r>
        <w:t>Campaigns are usually decided long before the election takes place.  As you can see with the below chart, in districts where the PVI score is below -10 (described as a heavily Democratic district and labeled as 0 in the below chart), GOP campaigns max out at just above 40% of the vote.  By comparison, districts that are heavily Republican (PVI &gt; 10)</w:t>
      </w:r>
      <w:r w:rsidR="002A399E">
        <w:t xml:space="preserve"> almost guarantee the Republican candidate’s election regardless of any other feature, with the minimum percent 48%.</w:t>
      </w:r>
    </w:p>
    <w:p w14:paraId="0B91D8EB" w14:textId="77777777" w:rsidR="002A399E" w:rsidRDefault="002A399E" w:rsidP="00F72137">
      <w:pPr>
        <w:jc w:val="both"/>
      </w:pPr>
    </w:p>
    <w:p w14:paraId="13FAD49F" w14:textId="0C667AA5" w:rsidR="00BE36CD" w:rsidRDefault="00BE36CD" w:rsidP="00F72137">
      <w:pPr>
        <w:jc w:val="both"/>
      </w:pPr>
      <w:r>
        <w:t xml:space="preserve">It is the middle group of congressional districts, between -10 and 10 PVI, where the most variation occurs and the least amount of predictability. However, 207 of 435 districts exist within this range and </w:t>
      </w:r>
      <w:r w:rsidR="00037590">
        <w:t xml:space="preserve">are a </w:t>
      </w:r>
      <w:r>
        <w:t xml:space="preserve">significant </w:t>
      </w:r>
      <w:r w:rsidR="00037590">
        <w:t>enough sample size to provide insight.</w:t>
      </w:r>
    </w:p>
    <w:p w14:paraId="171FA005" w14:textId="77777777" w:rsidR="008E1851" w:rsidRDefault="008E1851" w:rsidP="008F288B"/>
    <w:p w14:paraId="796C6F04" w14:textId="7E3AD336" w:rsidR="00932E0A" w:rsidRDefault="00932E0A" w:rsidP="00932E0A">
      <w:pPr>
        <w:jc w:val="center"/>
      </w:pPr>
      <w:r>
        <w:rPr>
          <w:noProof/>
        </w:rPr>
        <w:drawing>
          <wp:inline distT="0" distB="0" distL="0" distR="0" wp14:anchorId="595AB182" wp14:editId="05A968A1">
            <wp:extent cx="3657600" cy="2533986"/>
            <wp:effectExtent l="0" t="0" r="0" b="6350"/>
            <wp:docPr id="8" name="Picture 8" descr="../data/cong_pred_model/Visualizations/Power%20of%20Partisanship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cong_pred_model/Visualizations/Power%20of%20Partisanship_cle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533986"/>
                    </a:xfrm>
                    <a:prstGeom prst="rect">
                      <a:avLst/>
                    </a:prstGeom>
                    <a:noFill/>
                    <a:ln>
                      <a:noFill/>
                    </a:ln>
                  </pic:spPr>
                </pic:pic>
              </a:graphicData>
            </a:graphic>
          </wp:inline>
        </w:drawing>
      </w:r>
    </w:p>
    <w:p w14:paraId="1FE848E2" w14:textId="77777777" w:rsidR="00932E0A" w:rsidRDefault="00932E0A" w:rsidP="004939F8"/>
    <w:p w14:paraId="174F9C31" w14:textId="6518F4A8" w:rsidR="004939F8" w:rsidRDefault="004939F8" w:rsidP="00F72137">
      <w:pPr>
        <w:jc w:val="both"/>
      </w:pPr>
      <w:r>
        <w:t>Another way of visualizing the data shows just how well PVI correlates to actual campaign performance.</w:t>
      </w:r>
    </w:p>
    <w:p w14:paraId="4FEBF592" w14:textId="02EB1A0A" w:rsidR="00932E0A" w:rsidRDefault="00932E0A" w:rsidP="008F288B"/>
    <w:p w14:paraId="468F3E66" w14:textId="5036E8B1" w:rsidR="00932E0A" w:rsidRDefault="00932E0A" w:rsidP="00B043E4">
      <w:pPr>
        <w:jc w:val="center"/>
      </w:pPr>
      <w:r>
        <w:rPr>
          <w:noProof/>
        </w:rPr>
        <w:drawing>
          <wp:inline distT="0" distB="0" distL="0" distR="0" wp14:anchorId="08329BC2" wp14:editId="0C44722C">
            <wp:extent cx="3657600" cy="3135869"/>
            <wp:effectExtent l="0" t="0" r="0" b="0"/>
            <wp:docPr id="9" name="Picture 9" descr="../data/cong_pred_model/Visualizations/PVI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cong_pred_model/Visualizations/PVI_Correl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135869"/>
                    </a:xfrm>
                    <a:prstGeom prst="rect">
                      <a:avLst/>
                    </a:prstGeom>
                    <a:noFill/>
                    <a:ln>
                      <a:noFill/>
                    </a:ln>
                  </pic:spPr>
                </pic:pic>
              </a:graphicData>
            </a:graphic>
          </wp:inline>
        </w:drawing>
      </w:r>
    </w:p>
    <w:p w14:paraId="5EAED58E" w14:textId="77777777" w:rsidR="00656B76" w:rsidRDefault="00656B76" w:rsidP="00B043E4">
      <w:pPr>
        <w:jc w:val="center"/>
      </w:pPr>
    </w:p>
    <w:p w14:paraId="7F02330C" w14:textId="084DDFED" w:rsidR="00170858" w:rsidRPr="00F916E0" w:rsidRDefault="00170858" w:rsidP="008F288B">
      <w:pPr>
        <w:rPr>
          <w:b/>
        </w:rPr>
      </w:pPr>
      <w:r w:rsidRPr="00F916E0">
        <w:rPr>
          <w:b/>
        </w:rPr>
        <w:t>4.3</w:t>
      </w:r>
      <w:r w:rsidRPr="00F916E0">
        <w:rPr>
          <w:b/>
        </w:rPr>
        <w:tab/>
        <w:t>The Campaign Finance Data</w:t>
      </w:r>
    </w:p>
    <w:p w14:paraId="6E4D7D1B" w14:textId="77777777" w:rsidR="008F288B" w:rsidRDefault="008F288B" w:rsidP="008F288B"/>
    <w:p w14:paraId="5ACDD578" w14:textId="38982E34" w:rsidR="00753E90" w:rsidRDefault="000F136E" w:rsidP="00F72137">
      <w:pPr>
        <w:jc w:val="both"/>
      </w:pPr>
      <w:r>
        <w:t xml:space="preserve">Although the individual cash on hand totals do not correlate strongly to the performance of the GOP candidate, the delta between two candidates </w:t>
      </w:r>
      <w:r w:rsidR="00896B11">
        <w:t xml:space="preserve">does correlate. </w:t>
      </w:r>
      <w:r w:rsidR="009441C5">
        <w:t xml:space="preserve">One of the most relevant insights gained from this project is that it is the delta of cash on hand at the beginning of the period that is more relevant than cash on hand at the end of the period in predicting the </w:t>
      </w:r>
      <w:r w:rsidR="002B5F5C">
        <w:t>vote share</w:t>
      </w:r>
      <w:r w:rsidR="009441C5">
        <w:t xml:space="preserve"> </w:t>
      </w:r>
      <w:r w:rsidR="002B5F5C">
        <w:t xml:space="preserve">in </w:t>
      </w:r>
      <w:r w:rsidR="009441C5">
        <w:t xml:space="preserve">the </w:t>
      </w:r>
      <w:r w:rsidR="002B5F5C">
        <w:t xml:space="preserve">general </w:t>
      </w:r>
      <w:r w:rsidR="009441C5">
        <w:t>election seven months later</w:t>
      </w:r>
      <w:r w:rsidR="00A15CAD">
        <w:t>.</w:t>
      </w:r>
    </w:p>
    <w:p w14:paraId="25833C0E" w14:textId="77777777" w:rsidR="00753E90" w:rsidRDefault="00753E90" w:rsidP="008F288B"/>
    <w:p w14:paraId="7031BA26" w14:textId="00A82005" w:rsidR="00B043E4" w:rsidRDefault="009441C5" w:rsidP="00E332E9">
      <w:pPr>
        <w:jc w:val="center"/>
      </w:pPr>
      <w:r>
        <w:rPr>
          <w:noProof/>
        </w:rPr>
        <w:drawing>
          <wp:inline distT="0" distB="0" distL="0" distR="0" wp14:anchorId="00361F85" wp14:editId="3FD5E4D9">
            <wp:extent cx="2926080" cy="2926080"/>
            <wp:effectExtent l="0" t="0" r="0" b="0"/>
            <wp:docPr id="12" name="Picture 12" descr="../data/cong_pred_model/Visualizations/CoH_Apri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cong_pred_model/Visualizations/CoH_April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r>
        <w:rPr>
          <w:noProof/>
        </w:rPr>
        <w:drawing>
          <wp:inline distT="0" distB="0" distL="0" distR="0" wp14:anchorId="59C2EEB3" wp14:editId="2CFE7528">
            <wp:extent cx="2926080" cy="2926080"/>
            <wp:effectExtent l="0" t="0" r="0" b="0"/>
            <wp:docPr id="13" name="Picture 13" descr="../data/cong_pred_model/Visualizations/CoH_Jun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cong_pred_model/Visualizations/CoH_June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14:paraId="3DA34E68" w14:textId="77777777" w:rsidR="00B043E4" w:rsidRDefault="00B043E4" w:rsidP="00B043E4"/>
    <w:p w14:paraId="2E27CA82" w14:textId="77777777" w:rsidR="007B19EC" w:rsidRPr="00A05C0D" w:rsidRDefault="007B19EC" w:rsidP="007B19EC">
      <w:pPr>
        <w:pStyle w:val="ListParagraph"/>
        <w:numPr>
          <w:ilvl w:val="0"/>
          <w:numId w:val="1"/>
        </w:numPr>
        <w:rPr>
          <w:b/>
          <w:sz w:val="28"/>
          <w:szCs w:val="28"/>
        </w:rPr>
      </w:pPr>
      <w:r w:rsidRPr="00A05C0D">
        <w:rPr>
          <w:b/>
          <w:sz w:val="28"/>
          <w:szCs w:val="28"/>
        </w:rPr>
        <w:t>Modeling The Races</w:t>
      </w:r>
    </w:p>
    <w:p w14:paraId="2DC5644E" w14:textId="77777777" w:rsidR="008F288B" w:rsidRDefault="008F288B" w:rsidP="008F288B"/>
    <w:p w14:paraId="12C7D255" w14:textId="1DEBBD9F" w:rsidR="00AC6557" w:rsidRDefault="00AC6557" w:rsidP="00F72137">
      <w:pPr>
        <w:jc w:val="both"/>
      </w:pPr>
      <w:r>
        <w:t>To gain the insights we desired, we used three regression models to predict the percentage of the vote the GOP candidate should receive given a set of features.  Because, as discussed above, PVI and incumbency are such strong indicators, we include them in every model.  Incumbency was given a score of 1 for races with a GOP incumbent, and 0 for all other races.</w:t>
      </w:r>
    </w:p>
    <w:p w14:paraId="16DCCBD1" w14:textId="77777777" w:rsidR="00AC6557" w:rsidRDefault="00AC6557" w:rsidP="008F288B"/>
    <w:p w14:paraId="2CCBEB6C" w14:textId="00C8DC15" w:rsidR="00A10115" w:rsidRDefault="007C6372" w:rsidP="008F288B">
      <w:r>
        <w:t>When designing and testing the models, we looked at 28 separate features (all included in the full data set file).  However, for simplification, only those features that showed any predictive value were included, and many that were either highly correlated to other features or were too random to work, are excluded from discussion.</w:t>
      </w:r>
      <w:r w:rsidR="00A10115">
        <w:t xml:space="preserve"> </w:t>
      </w:r>
    </w:p>
    <w:p w14:paraId="2613665A" w14:textId="77777777" w:rsidR="00A10115" w:rsidRDefault="00A10115" w:rsidP="008F288B"/>
    <w:p w14:paraId="2FE56210" w14:textId="445B5A67" w:rsidR="005C2F3B" w:rsidRPr="00E25B46" w:rsidRDefault="005C2F3B" w:rsidP="008F288B">
      <w:pPr>
        <w:rPr>
          <w:b/>
        </w:rPr>
      </w:pPr>
      <w:r w:rsidRPr="00E25B46">
        <w:rPr>
          <w:b/>
        </w:rPr>
        <w:t>5.1</w:t>
      </w:r>
      <w:r w:rsidRPr="00E25B46">
        <w:rPr>
          <w:b/>
        </w:rPr>
        <w:tab/>
        <w:t>Linear Regression</w:t>
      </w:r>
    </w:p>
    <w:p w14:paraId="0DEFD216" w14:textId="77777777" w:rsidR="005C2F3B" w:rsidRDefault="005C2F3B" w:rsidP="008F288B"/>
    <w:p w14:paraId="30EC6C93" w14:textId="256F7E9D" w:rsidR="007D49AE" w:rsidRDefault="00760F6A" w:rsidP="00F72137">
      <w:pPr>
        <w:jc w:val="both"/>
      </w:pPr>
      <w:r>
        <w:t>The first model we approached was simple linear regression.</w:t>
      </w:r>
      <w:r w:rsidR="00EA19F2">
        <w:t xml:space="preserve">  Because this model is highly interpretable, we hoped it would provide some insight into which features (outside of incumbency and PVI) would play a role in </w:t>
      </w:r>
      <w:r w:rsidR="007A3AF0">
        <w:t xml:space="preserve">the eventual election outcome. </w:t>
      </w:r>
    </w:p>
    <w:p w14:paraId="59E72675" w14:textId="77777777" w:rsidR="00A05C0D" w:rsidRDefault="00A05C0D" w:rsidP="00F72137">
      <w:pPr>
        <w:jc w:val="both"/>
      </w:pPr>
    </w:p>
    <w:p w14:paraId="4DF9E4D4" w14:textId="4A288DB8" w:rsidR="007A3AF0" w:rsidRDefault="007A3AF0" w:rsidP="00F72137">
      <w:pPr>
        <w:jc w:val="both"/>
      </w:pPr>
      <w:r>
        <w:t>By looking at the two core features, PVI (</w:t>
      </w:r>
      <w:proofErr w:type="spellStart"/>
      <w:r>
        <w:t>gopvi</w:t>
      </w:r>
      <w:proofErr w:type="spellEnd"/>
      <w:r>
        <w:t>) and Incumbency (</w:t>
      </w:r>
      <w:proofErr w:type="spellStart"/>
      <w:r>
        <w:t>inc_gop</w:t>
      </w:r>
      <w:proofErr w:type="spellEnd"/>
      <w:r>
        <w:t xml:space="preserve">) only, we get a fairly satisfactory RMSE of 5.26368908322. This is fairly close to our ideal RMSE of 5.0.  This also shows just how critical incumbency can be to winning, as the coefficient for being the incumbent is </w:t>
      </w:r>
      <w:r w:rsidR="000F24E5">
        <w:t>5.55</w:t>
      </w:r>
      <w:r>
        <w:t xml:space="preserve"> – being the incumbent correlates to a </w:t>
      </w:r>
      <w:r w:rsidR="000F24E5">
        <w:t>5.5</w:t>
      </w:r>
      <w:r w:rsidR="00B45533">
        <w:t>-point</w:t>
      </w:r>
      <w:r>
        <w:t xml:space="preserve"> increase over the </w:t>
      </w:r>
      <w:r w:rsidR="00097FD9">
        <w:t>intercept (</w:t>
      </w:r>
      <w:r w:rsidR="000F24E5">
        <w:t>46.7166</w:t>
      </w:r>
      <w:r w:rsidR="00097FD9">
        <w:t>)</w:t>
      </w:r>
      <w:r>
        <w:t xml:space="preserve">, all other </w:t>
      </w:r>
      <w:r w:rsidR="00C47942">
        <w:t xml:space="preserve">(financial) </w:t>
      </w:r>
      <w:r>
        <w:t>factors being equal.</w:t>
      </w:r>
      <w:r w:rsidR="00F81D23">
        <w:t xml:space="preserve">  This is the power of incumbency.</w:t>
      </w:r>
      <w:bookmarkStart w:id="0" w:name="_GoBack"/>
      <w:bookmarkEnd w:id="0"/>
    </w:p>
    <w:p w14:paraId="4D915529" w14:textId="77777777" w:rsidR="007A3AF0" w:rsidRDefault="007A3AF0" w:rsidP="00F72137">
      <w:pPr>
        <w:jc w:val="both"/>
      </w:pPr>
    </w:p>
    <w:p w14:paraId="1F1AF3B2" w14:textId="7575F192" w:rsidR="00B45533" w:rsidRDefault="00B45533" w:rsidP="00F72137">
      <w:pPr>
        <w:jc w:val="both"/>
      </w:pPr>
      <w:r>
        <w:t>Next, we looked at two other critical features – cash on hand advantage at the beginning of the period (</w:t>
      </w:r>
      <w:proofErr w:type="spellStart"/>
      <w:r>
        <w:t>gop_cash_adv_beg</w:t>
      </w:r>
      <w:proofErr w:type="spellEnd"/>
      <w:r>
        <w:t>) and at the end of the period (</w:t>
      </w:r>
      <w:proofErr w:type="spellStart"/>
      <w:r>
        <w:t>gop_cash_adv_end</w:t>
      </w:r>
      <w:proofErr w:type="spellEnd"/>
      <w:r>
        <w:t xml:space="preserve">). </w:t>
      </w:r>
    </w:p>
    <w:p w14:paraId="6803AC4F" w14:textId="77777777" w:rsidR="00B45533" w:rsidRDefault="00B45533" w:rsidP="00F72137">
      <w:pPr>
        <w:jc w:val="both"/>
      </w:pPr>
    </w:p>
    <w:p w14:paraId="55B1820B" w14:textId="66797CAA" w:rsidR="007A3AF0" w:rsidRDefault="00814814" w:rsidP="00F72137">
      <w:pPr>
        <w:jc w:val="both"/>
      </w:pPr>
      <w:r>
        <w:t>Interestingly</w:t>
      </w:r>
      <w:r w:rsidR="00B45533">
        <w:t>, while both cash on hand at the beginning of the period (RMSE 5.11) and at the end of the period (RMSE 5.10) create slightly more accurate models, the two factors combined decrease the accuracy slightly to RMSE 5.12.</w:t>
      </w:r>
    </w:p>
    <w:p w14:paraId="65B6C308" w14:textId="77777777" w:rsidR="00B45533" w:rsidRDefault="00B45533" w:rsidP="00F72137">
      <w:pPr>
        <w:jc w:val="both"/>
      </w:pPr>
    </w:p>
    <w:p w14:paraId="2F64EAA4" w14:textId="4D8A5C29" w:rsidR="00B45533" w:rsidRDefault="00B45533" w:rsidP="00F72137">
      <w:pPr>
        <w:jc w:val="both"/>
      </w:pPr>
      <w:r>
        <w:t>No other combination of features performs better than PVI, Incumbency, and Cash on Hand Advantage at the End of the Period.</w:t>
      </w:r>
    </w:p>
    <w:p w14:paraId="5A8BE43E" w14:textId="77777777" w:rsidR="007A3AF0" w:rsidRDefault="007A3AF0" w:rsidP="008F288B"/>
    <w:p w14:paraId="0072CCCC" w14:textId="36CE9289" w:rsidR="005C2F3B" w:rsidRPr="00FF0D7B" w:rsidRDefault="005C2F3B" w:rsidP="008F288B">
      <w:pPr>
        <w:rPr>
          <w:b/>
        </w:rPr>
      </w:pPr>
      <w:r w:rsidRPr="00FF0D7B">
        <w:rPr>
          <w:b/>
        </w:rPr>
        <w:t>5.2</w:t>
      </w:r>
      <w:r w:rsidRPr="00FF0D7B">
        <w:rPr>
          <w:b/>
        </w:rPr>
        <w:tab/>
        <w:t>Decision Tree</w:t>
      </w:r>
    </w:p>
    <w:p w14:paraId="4F276EB2" w14:textId="77777777" w:rsidR="005C2F3B" w:rsidRDefault="005C2F3B" w:rsidP="008F288B"/>
    <w:p w14:paraId="2C98EFCD" w14:textId="2A43D95E" w:rsidR="007D49AE" w:rsidRDefault="00FF0D7B" w:rsidP="00F72137">
      <w:pPr>
        <w:jc w:val="both"/>
      </w:pPr>
      <w:r>
        <w:t>Although not terribly useful in prediction, a decision tree is probably the most easily interpretable model, and can definitely provide some insight.</w:t>
      </w:r>
    </w:p>
    <w:p w14:paraId="07F6AE83" w14:textId="77777777" w:rsidR="00FF0D7B" w:rsidRDefault="00FF0D7B" w:rsidP="00F72137">
      <w:pPr>
        <w:jc w:val="both"/>
      </w:pPr>
    </w:p>
    <w:p w14:paraId="1A6C9A51" w14:textId="6A07859C" w:rsidR="00AE3C75" w:rsidRDefault="00AE3C75" w:rsidP="00F72137">
      <w:pPr>
        <w:jc w:val="both"/>
      </w:pPr>
      <w:r>
        <w:t>A combination of features produced an RMSE of 5.51.  While this is not very useful relative to the much simpler linear regression model above, it did confirm several insights above, which you can see by looking at the relative importance of the features used to get the minimum error.</w:t>
      </w:r>
    </w:p>
    <w:p w14:paraId="7D456383" w14:textId="77777777" w:rsidR="00AE3C75" w:rsidRDefault="00AE3C75" w:rsidP="008F288B"/>
    <w:p w14:paraId="0913AD09" w14:textId="52E1E00D" w:rsidR="00AE3C75" w:rsidRPr="00BA0022" w:rsidRDefault="00AE3C75" w:rsidP="002D62C7">
      <w:pPr>
        <w:ind w:left="720"/>
        <w:rPr>
          <w:rFonts w:ascii="Andale Mono" w:hAnsi="Andale Mono"/>
          <w:b/>
          <w:sz w:val="18"/>
          <w:szCs w:val="18"/>
        </w:rPr>
      </w:pPr>
      <w:r w:rsidRPr="00BA0022">
        <w:rPr>
          <w:rFonts w:ascii="Andale Mono" w:hAnsi="Andale Mono"/>
          <w:b/>
          <w:sz w:val="18"/>
          <w:szCs w:val="18"/>
        </w:rPr>
        <w:t>Feature Importance</w:t>
      </w:r>
    </w:p>
    <w:p w14:paraId="23036260" w14:textId="46D624D3" w:rsidR="00AC0B9D" w:rsidRPr="00BA0022" w:rsidRDefault="00AC0B9D" w:rsidP="002D62C7">
      <w:pPr>
        <w:ind w:left="720"/>
        <w:rPr>
          <w:rFonts w:ascii="Andale Mono" w:hAnsi="Andale Mono"/>
          <w:sz w:val="18"/>
          <w:szCs w:val="18"/>
        </w:rPr>
      </w:pPr>
      <w:proofErr w:type="spellStart"/>
      <w:r w:rsidRPr="00BA0022">
        <w:rPr>
          <w:rFonts w:ascii="Andale Mono" w:hAnsi="Andale Mono"/>
          <w:bCs/>
          <w:sz w:val="18"/>
          <w:szCs w:val="18"/>
        </w:rPr>
        <w:t>g</w:t>
      </w:r>
      <w:r w:rsidRPr="00BA0022">
        <w:rPr>
          <w:rFonts w:ascii="Andale Mono" w:hAnsi="Andale Mono"/>
          <w:sz w:val="18"/>
          <w:szCs w:val="18"/>
        </w:rPr>
        <w:t>opvi</w:t>
      </w:r>
      <w:proofErr w:type="spellEnd"/>
      <w:r w:rsidRPr="00BA0022">
        <w:rPr>
          <w:rFonts w:ascii="Andale Mono" w:hAnsi="Andale Mono"/>
          <w:sz w:val="18"/>
          <w:szCs w:val="18"/>
        </w:rPr>
        <w:t xml:space="preserve"> </w:t>
      </w:r>
      <w:r w:rsidRPr="00BA0022">
        <w:rPr>
          <w:rFonts w:ascii="Andale Mono" w:hAnsi="Andale Mono"/>
          <w:bCs/>
          <w:sz w:val="18"/>
          <w:szCs w:val="18"/>
        </w:rPr>
        <w:tab/>
      </w:r>
      <w:r w:rsidRPr="00BA0022">
        <w:rPr>
          <w:rFonts w:ascii="Andale Mono" w:hAnsi="Andale Mono"/>
          <w:bCs/>
          <w:sz w:val="18"/>
          <w:szCs w:val="18"/>
        </w:rPr>
        <w:tab/>
      </w:r>
      <w:r w:rsidR="00BA0022">
        <w:rPr>
          <w:rFonts w:ascii="Andale Mono" w:hAnsi="Andale Mono"/>
          <w:bCs/>
          <w:sz w:val="18"/>
          <w:szCs w:val="18"/>
        </w:rPr>
        <w:tab/>
      </w:r>
      <w:r w:rsidRPr="00BA0022">
        <w:rPr>
          <w:rFonts w:ascii="Andale Mono" w:hAnsi="Andale Mono"/>
          <w:sz w:val="18"/>
          <w:szCs w:val="18"/>
        </w:rPr>
        <w:t>0.888646</w:t>
      </w:r>
    </w:p>
    <w:p w14:paraId="53E1D464" w14:textId="148B011B" w:rsidR="00AC0B9D" w:rsidRPr="00BA0022" w:rsidRDefault="00AC0B9D" w:rsidP="002D62C7">
      <w:pPr>
        <w:ind w:left="720"/>
        <w:rPr>
          <w:rFonts w:ascii="Andale Mono" w:hAnsi="Andale Mono"/>
          <w:sz w:val="18"/>
          <w:szCs w:val="18"/>
        </w:rPr>
      </w:pPr>
      <w:proofErr w:type="spellStart"/>
      <w:r w:rsidRPr="00BA0022">
        <w:rPr>
          <w:rFonts w:ascii="Andale Mono" w:hAnsi="Andale Mono"/>
          <w:sz w:val="18"/>
          <w:szCs w:val="18"/>
        </w:rPr>
        <w:t>gop_cash_adv_beg</w:t>
      </w:r>
      <w:proofErr w:type="spellEnd"/>
      <w:r w:rsidRPr="00BA0022">
        <w:rPr>
          <w:rFonts w:ascii="Andale Mono" w:hAnsi="Andale Mono"/>
          <w:sz w:val="18"/>
          <w:szCs w:val="18"/>
        </w:rPr>
        <w:t xml:space="preserve"> </w:t>
      </w:r>
      <w:r w:rsidRPr="00BA0022">
        <w:rPr>
          <w:rFonts w:ascii="Andale Mono" w:hAnsi="Andale Mono"/>
          <w:bCs/>
          <w:sz w:val="18"/>
          <w:szCs w:val="18"/>
        </w:rPr>
        <w:tab/>
      </w:r>
      <w:r w:rsidRPr="00BA0022">
        <w:rPr>
          <w:rFonts w:ascii="Andale Mono" w:hAnsi="Andale Mono"/>
          <w:sz w:val="18"/>
          <w:szCs w:val="18"/>
        </w:rPr>
        <w:t>0.080406</w:t>
      </w:r>
    </w:p>
    <w:p w14:paraId="199DE02A" w14:textId="204F8BD2" w:rsidR="00AC0B9D" w:rsidRPr="00BA0022" w:rsidRDefault="00AC0B9D" w:rsidP="002D62C7">
      <w:pPr>
        <w:ind w:left="720"/>
        <w:rPr>
          <w:rFonts w:ascii="Andale Mono" w:hAnsi="Andale Mono"/>
          <w:sz w:val="18"/>
          <w:szCs w:val="18"/>
        </w:rPr>
      </w:pPr>
      <w:proofErr w:type="spellStart"/>
      <w:r w:rsidRPr="00BA0022">
        <w:rPr>
          <w:rFonts w:ascii="Andale Mono" w:hAnsi="Andale Mono"/>
          <w:sz w:val="18"/>
          <w:szCs w:val="18"/>
        </w:rPr>
        <w:t>tot_rec_gop</w:t>
      </w:r>
      <w:proofErr w:type="spellEnd"/>
      <w:r w:rsidRPr="00BA0022">
        <w:rPr>
          <w:rFonts w:ascii="Andale Mono" w:hAnsi="Andale Mono"/>
          <w:sz w:val="18"/>
          <w:szCs w:val="18"/>
        </w:rPr>
        <w:t xml:space="preserve"> </w:t>
      </w:r>
      <w:r w:rsidRPr="00BA0022">
        <w:rPr>
          <w:rFonts w:ascii="Andale Mono" w:hAnsi="Andale Mono"/>
          <w:bCs/>
          <w:sz w:val="18"/>
          <w:szCs w:val="18"/>
        </w:rPr>
        <w:tab/>
      </w:r>
      <w:r w:rsidR="00BA0022">
        <w:rPr>
          <w:rFonts w:ascii="Andale Mono" w:hAnsi="Andale Mono"/>
          <w:bCs/>
          <w:sz w:val="18"/>
          <w:szCs w:val="18"/>
        </w:rPr>
        <w:tab/>
      </w:r>
      <w:r w:rsidRPr="00BA0022">
        <w:rPr>
          <w:rFonts w:ascii="Andale Mono" w:hAnsi="Andale Mono"/>
          <w:sz w:val="18"/>
          <w:szCs w:val="18"/>
        </w:rPr>
        <w:t>0.023629</w:t>
      </w:r>
    </w:p>
    <w:p w14:paraId="58AD6AF2" w14:textId="6CAA0B37" w:rsidR="00AC0B9D" w:rsidRPr="00BA0022" w:rsidRDefault="00AC0B9D" w:rsidP="002D62C7">
      <w:pPr>
        <w:ind w:left="720"/>
        <w:rPr>
          <w:rFonts w:ascii="Andale Mono" w:hAnsi="Andale Mono"/>
          <w:sz w:val="18"/>
          <w:szCs w:val="18"/>
        </w:rPr>
      </w:pPr>
      <w:proofErr w:type="spellStart"/>
      <w:r w:rsidRPr="00BA0022">
        <w:rPr>
          <w:rFonts w:ascii="Andale Mono" w:hAnsi="Andale Mono"/>
          <w:sz w:val="18"/>
          <w:szCs w:val="18"/>
        </w:rPr>
        <w:t>inc_gop</w:t>
      </w:r>
      <w:proofErr w:type="spellEnd"/>
      <w:r w:rsidRPr="00BA0022">
        <w:rPr>
          <w:rFonts w:ascii="Andale Mono" w:hAnsi="Andale Mono"/>
          <w:sz w:val="18"/>
          <w:szCs w:val="18"/>
        </w:rPr>
        <w:t xml:space="preserve"> </w:t>
      </w:r>
      <w:r w:rsidRPr="00BA0022">
        <w:rPr>
          <w:rFonts w:ascii="Andale Mono" w:hAnsi="Andale Mono"/>
          <w:bCs/>
          <w:sz w:val="18"/>
          <w:szCs w:val="18"/>
        </w:rPr>
        <w:tab/>
      </w:r>
      <w:r w:rsidRPr="00BA0022">
        <w:rPr>
          <w:rFonts w:ascii="Andale Mono" w:hAnsi="Andale Mono"/>
          <w:bCs/>
          <w:sz w:val="18"/>
          <w:szCs w:val="18"/>
        </w:rPr>
        <w:tab/>
      </w:r>
      <w:r w:rsidRPr="00BA0022">
        <w:rPr>
          <w:rFonts w:ascii="Andale Mono" w:hAnsi="Andale Mono"/>
          <w:sz w:val="18"/>
          <w:szCs w:val="18"/>
        </w:rPr>
        <w:t>0.004956</w:t>
      </w:r>
    </w:p>
    <w:p w14:paraId="02345D86" w14:textId="26B3B09C" w:rsidR="007D49AE" w:rsidRPr="00BA0022" w:rsidRDefault="00AC0B9D" w:rsidP="002D62C7">
      <w:pPr>
        <w:ind w:left="720"/>
        <w:rPr>
          <w:rFonts w:ascii="Andale Mono" w:hAnsi="Andale Mono"/>
          <w:bCs/>
          <w:sz w:val="18"/>
          <w:szCs w:val="18"/>
        </w:rPr>
      </w:pPr>
      <w:proofErr w:type="spellStart"/>
      <w:r w:rsidRPr="00BA0022">
        <w:rPr>
          <w:rFonts w:ascii="Andale Mono" w:hAnsi="Andale Mono"/>
          <w:sz w:val="18"/>
          <w:szCs w:val="18"/>
        </w:rPr>
        <w:t>gop_fund_adv</w:t>
      </w:r>
      <w:proofErr w:type="spellEnd"/>
      <w:r w:rsidRPr="00BA0022">
        <w:rPr>
          <w:rFonts w:ascii="Andale Mono" w:hAnsi="Andale Mono"/>
          <w:sz w:val="18"/>
          <w:szCs w:val="18"/>
        </w:rPr>
        <w:t xml:space="preserve"> </w:t>
      </w:r>
      <w:r w:rsidRPr="00BA0022">
        <w:rPr>
          <w:rFonts w:ascii="Andale Mono" w:hAnsi="Andale Mono"/>
          <w:bCs/>
          <w:sz w:val="18"/>
          <w:szCs w:val="18"/>
        </w:rPr>
        <w:tab/>
      </w:r>
      <w:r w:rsidR="00BA0022">
        <w:rPr>
          <w:rFonts w:ascii="Andale Mono" w:hAnsi="Andale Mono"/>
          <w:bCs/>
          <w:sz w:val="18"/>
          <w:szCs w:val="18"/>
        </w:rPr>
        <w:tab/>
      </w:r>
      <w:r w:rsidRPr="00BA0022">
        <w:rPr>
          <w:rFonts w:ascii="Andale Mono" w:hAnsi="Andale Mono"/>
          <w:sz w:val="18"/>
          <w:szCs w:val="18"/>
        </w:rPr>
        <w:t>0.002363</w:t>
      </w:r>
    </w:p>
    <w:p w14:paraId="6FF55481" w14:textId="77777777" w:rsidR="00AC0B9D" w:rsidRDefault="00AC0B9D" w:rsidP="00AC0B9D"/>
    <w:p w14:paraId="3E5D2BE3" w14:textId="2A206D45" w:rsidR="00AE3C75" w:rsidRDefault="00AE3C75" w:rsidP="00F72137">
      <w:pPr>
        <w:jc w:val="both"/>
      </w:pPr>
      <w:r>
        <w:t>While this model does not put a high priority on incumbency, it doesn’t need to.  Most districts are already represented by candidates of the favored party, so the district PVI is much more revealing.  Additionally, in this model, and as we’ll see in the random forest model, it is the beginning cash on hand delta that proves more insightful.</w:t>
      </w:r>
      <w:r w:rsidR="00AC0B9D">
        <w:t xml:space="preserve"> In fact, the only way the model ever gets an RMSE below 5.6 is by excluding the cash on hand at the end of the period, a feature that linear regression found important, the decision tree found </w:t>
      </w:r>
      <w:r w:rsidR="00695C2C">
        <w:t>problematic</w:t>
      </w:r>
      <w:r w:rsidR="00AC0B9D">
        <w:t>.</w:t>
      </w:r>
      <w:r w:rsidR="00E954A0">
        <w:rPr>
          <w:rStyle w:val="FootnoteReference"/>
        </w:rPr>
        <w:footnoteReference w:id="12"/>
      </w:r>
    </w:p>
    <w:p w14:paraId="36E63B8B" w14:textId="77777777" w:rsidR="00E954A0" w:rsidRDefault="00E954A0" w:rsidP="00F72137">
      <w:pPr>
        <w:jc w:val="both"/>
      </w:pPr>
    </w:p>
    <w:p w14:paraId="39871CF6" w14:textId="0F6EDE90" w:rsidR="00E954A0" w:rsidRDefault="00E954A0" w:rsidP="00F72137">
      <w:pPr>
        <w:jc w:val="both"/>
      </w:pPr>
      <w:r>
        <w:t>Neither of these models, however, give us what we really want.</w:t>
      </w:r>
    </w:p>
    <w:p w14:paraId="17698327" w14:textId="77777777" w:rsidR="00AE3C75" w:rsidRDefault="00AE3C75" w:rsidP="008F288B"/>
    <w:p w14:paraId="2DD857FB" w14:textId="5FB3F33A" w:rsidR="005C2F3B" w:rsidRPr="00D61F23" w:rsidRDefault="005C2F3B" w:rsidP="008F288B">
      <w:pPr>
        <w:rPr>
          <w:b/>
        </w:rPr>
      </w:pPr>
      <w:r w:rsidRPr="00D61F23">
        <w:rPr>
          <w:b/>
        </w:rPr>
        <w:t>5.3</w:t>
      </w:r>
      <w:r w:rsidRPr="00D61F23">
        <w:rPr>
          <w:b/>
        </w:rPr>
        <w:tab/>
        <w:t>Random Forest</w:t>
      </w:r>
    </w:p>
    <w:p w14:paraId="0AA98319" w14:textId="77777777" w:rsidR="008F288B" w:rsidRDefault="008F288B" w:rsidP="008F288B"/>
    <w:p w14:paraId="19D92410" w14:textId="2F537264" w:rsidR="007D49AE" w:rsidRDefault="002D62C7" w:rsidP="00F72137">
      <w:pPr>
        <w:jc w:val="both"/>
      </w:pPr>
      <w:r>
        <w:t xml:space="preserve">The random forest is a costly model, but because we are working with only 495 observations, it is possible to </w:t>
      </w:r>
      <w:r w:rsidR="002F7FDB">
        <w:t xml:space="preserve">run </w:t>
      </w:r>
      <w:r>
        <w:t>1,000 trees, making for a highly accurate model.</w:t>
      </w:r>
      <w:r w:rsidR="000334BF">
        <w:t xml:space="preserve"> Using the same features that our best performing decision tree identified, a random forest does even better. </w:t>
      </w:r>
    </w:p>
    <w:p w14:paraId="658D9C67" w14:textId="77777777" w:rsidR="002D62C7" w:rsidRDefault="002D62C7" w:rsidP="00F72137">
      <w:pPr>
        <w:jc w:val="both"/>
      </w:pPr>
    </w:p>
    <w:p w14:paraId="57D8C53F" w14:textId="7288F4F5" w:rsidR="002D62C7" w:rsidRDefault="00911F20" w:rsidP="00F72137">
      <w:pPr>
        <w:jc w:val="both"/>
      </w:pPr>
      <w:r>
        <w:t>We</w:t>
      </w:r>
      <w:r w:rsidR="002D62C7">
        <w:t xml:space="preserve"> found that the random forest model can produce a RMSE score of just 5.0159, which is the closest to acceptable of any model and any feature selection.</w:t>
      </w:r>
      <w:r w:rsidR="002B2F9A">
        <w:t xml:space="preserve">  When we eliminated the fundraising advantage, our RMSE score did not change, and for simplicity of the model, we felt comfortable eliminating that as a relevant feature.</w:t>
      </w:r>
    </w:p>
    <w:p w14:paraId="267B239F" w14:textId="77777777" w:rsidR="002D62C7" w:rsidRDefault="002D62C7" w:rsidP="00F72137">
      <w:pPr>
        <w:jc w:val="both"/>
      </w:pPr>
    </w:p>
    <w:p w14:paraId="6E00B67C" w14:textId="515035F7" w:rsidR="002D62C7" w:rsidRDefault="002D62C7" w:rsidP="00F72137">
      <w:pPr>
        <w:jc w:val="both"/>
      </w:pPr>
      <w:r>
        <w:t>The feature importance breakdown is as follows:</w:t>
      </w:r>
    </w:p>
    <w:p w14:paraId="2C659D4C" w14:textId="77777777" w:rsidR="002D62C7" w:rsidRDefault="002D62C7" w:rsidP="008F288B"/>
    <w:p w14:paraId="3C29D265" w14:textId="77777777" w:rsidR="002D62C7" w:rsidRPr="00BA0022" w:rsidRDefault="002D62C7" w:rsidP="002D62C7">
      <w:pPr>
        <w:ind w:left="720"/>
        <w:rPr>
          <w:rFonts w:ascii="Andale Mono" w:hAnsi="Andale Mono"/>
          <w:b/>
          <w:sz w:val="18"/>
          <w:szCs w:val="18"/>
        </w:rPr>
      </w:pPr>
      <w:r w:rsidRPr="00BA0022">
        <w:rPr>
          <w:rFonts w:ascii="Andale Mono" w:hAnsi="Andale Mono"/>
          <w:b/>
          <w:sz w:val="18"/>
          <w:szCs w:val="18"/>
        </w:rPr>
        <w:t>Feature Importance</w:t>
      </w:r>
    </w:p>
    <w:p w14:paraId="59CF6449" w14:textId="45902D84" w:rsidR="002B2F9A" w:rsidRPr="00BA0022" w:rsidRDefault="002B2F9A" w:rsidP="002B2F9A">
      <w:pPr>
        <w:ind w:left="720"/>
        <w:rPr>
          <w:rFonts w:ascii="Andale Mono" w:hAnsi="Andale Mono"/>
          <w:sz w:val="18"/>
          <w:szCs w:val="18"/>
        </w:rPr>
      </w:pPr>
      <w:proofErr w:type="spellStart"/>
      <w:r w:rsidRPr="00BA0022">
        <w:rPr>
          <w:rFonts w:ascii="Andale Mono" w:hAnsi="Andale Mono"/>
          <w:sz w:val="18"/>
          <w:szCs w:val="18"/>
        </w:rPr>
        <w:t>gopvi</w:t>
      </w:r>
      <w:proofErr w:type="spellEnd"/>
      <w:r w:rsidRPr="00BA0022">
        <w:rPr>
          <w:rFonts w:ascii="Andale Mono" w:hAnsi="Andale Mono"/>
          <w:sz w:val="18"/>
          <w:szCs w:val="18"/>
        </w:rPr>
        <w:t xml:space="preserve">    </w:t>
      </w:r>
      <w:r w:rsidRPr="00BA0022">
        <w:rPr>
          <w:rFonts w:ascii="Andale Mono" w:hAnsi="Andale Mono"/>
          <w:sz w:val="18"/>
          <w:szCs w:val="18"/>
        </w:rPr>
        <w:tab/>
      </w:r>
      <w:r w:rsidRPr="00BA0022">
        <w:rPr>
          <w:rFonts w:ascii="Andale Mono" w:hAnsi="Andale Mono"/>
          <w:sz w:val="18"/>
          <w:szCs w:val="18"/>
        </w:rPr>
        <w:tab/>
        <w:t>0.675347</w:t>
      </w:r>
    </w:p>
    <w:p w14:paraId="04473D75" w14:textId="2F2620C4" w:rsidR="002B2F9A" w:rsidRPr="00BA0022" w:rsidRDefault="002B2F9A" w:rsidP="002B2F9A">
      <w:pPr>
        <w:ind w:left="720"/>
        <w:rPr>
          <w:rFonts w:ascii="Andale Mono" w:hAnsi="Andale Mono"/>
          <w:sz w:val="18"/>
          <w:szCs w:val="18"/>
        </w:rPr>
      </w:pPr>
      <w:proofErr w:type="spellStart"/>
      <w:r w:rsidRPr="00BA0022">
        <w:rPr>
          <w:rFonts w:ascii="Andale Mono" w:hAnsi="Andale Mono"/>
          <w:sz w:val="18"/>
          <w:szCs w:val="18"/>
        </w:rPr>
        <w:t>gop_cash_adv_beg</w:t>
      </w:r>
      <w:proofErr w:type="spellEnd"/>
      <w:r w:rsidRPr="00BA0022">
        <w:rPr>
          <w:rFonts w:ascii="Andale Mono" w:hAnsi="Andale Mono"/>
          <w:sz w:val="18"/>
          <w:szCs w:val="18"/>
        </w:rPr>
        <w:tab/>
        <w:t>0.227494</w:t>
      </w:r>
    </w:p>
    <w:p w14:paraId="3C0D6B6D" w14:textId="75139606" w:rsidR="002B2F9A" w:rsidRPr="00BA0022" w:rsidRDefault="002B2F9A" w:rsidP="002B2F9A">
      <w:pPr>
        <w:ind w:left="720"/>
        <w:rPr>
          <w:rFonts w:ascii="Andale Mono" w:hAnsi="Andale Mono"/>
          <w:sz w:val="18"/>
          <w:szCs w:val="18"/>
        </w:rPr>
      </w:pPr>
      <w:proofErr w:type="spellStart"/>
      <w:r w:rsidRPr="00BA0022">
        <w:rPr>
          <w:rFonts w:ascii="Andale Mono" w:hAnsi="Andale Mono"/>
          <w:sz w:val="18"/>
          <w:szCs w:val="18"/>
        </w:rPr>
        <w:t>tot_rec_gop</w:t>
      </w:r>
      <w:proofErr w:type="spellEnd"/>
      <w:r w:rsidRPr="00BA0022">
        <w:rPr>
          <w:rFonts w:ascii="Andale Mono" w:hAnsi="Andale Mono"/>
          <w:sz w:val="18"/>
          <w:szCs w:val="18"/>
        </w:rPr>
        <w:t xml:space="preserve">    </w:t>
      </w:r>
      <w:r w:rsidRPr="00BA0022">
        <w:rPr>
          <w:rFonts w:ascii="Andale Mono" w:hAnsi="Andale Mono"/>
          <w:sz w:val="18"/>
          <w:szCs w:val="18"/>
        </w:rPr>
        <w:tab/>
        <w:t>0.077886</w:t>
      </w:r>
    </w:p>
    <w:p w14:paraId="465B8E5B" w14:textId="4BD63DF4" w:rsidR="002D62C7" w:rsidRPr="00BA0022" w:rsidRDefault="002B2F9A" w:rsidP="002B2F9A">
      <w:pPr>
        <w:ind w:left="720"/>
        <w:rPr>
          <w:sz w:val="18"/>
          <w:szCs w:val="18"/>
        </w:rPr>
      </w:pPr>
      <w:proofErr w:type="spellStart"/>
      <w:r w:rsidRPr="00BA0022">
        <w:rPr>
          <w:rFonts w:ascii="Andale Mono" w:hAnsi="Andale Mono"/>
          <w:sz w:val="18"/>
          <w:szCs w:val="18"/>
        </w:rPr>
        <w:t>inc_gop</w:t>
      </w:r>
      <w:proofErr w:type="spellEnd"/>
      <w:r w:rsidRPr="00BA0022">
        <w:rPr>
          <w:rFonts w:ascii="Andale Mono" w:hAnsi="Andale Mono"/>
          <w:sz w:val="18"/>
          <w:szCs w:val="18"/>
        </w:rPr>
        <w:t xml:space="preserve">    </w:t>
      </w:r>
      <w:r w:rsidRPr="00BA0022">
        <w:rPr>
          <w:rFonts w:ascii="Andale Mono" w:hAnsi="Andale Mono"/>
          <w:sz w:val="18"/>
          <w:szCs w:val="18"/>
        </w:rPr>
        <w:tab/>
      </w:r>
      <w:r w:rsidRPr="00BA0022">
        <w:rPr>
          <w:rFonts w:ascii="Andale Mono" w:hAnsi="Andale Mono"/>
          <w:sz w:val="18"/>
          <w:szCs w:val="18"/>
        </w:rPr>
        <w:tab/>
        <w:t>0.019273</w:t>
      </w:r>
    </w:p>
    <w:p w14:paraId="29D2B78C" w14:textId="77777777" w:rsidR="002B2F9A" w:rsidRDefault="002B2F9A" w:rsidP="008F288B"/>
    <w:p w14:paraId="522F0A37" w14:textId="77777777" w:rsidR="00D97B4E" w:rsidRDefault="00D97B4E" w:rsidP="008F288B"/>
    <w:p w14:paraId="69C4C079" w14:textId="3C18DA11" w:rsidR="005A4A04" w:rsidRDefault="00D97B4E" w:rsidP="00A94E43">
      <w:pPr>
        <w:jc w:val="both"/>
      </w:pPr>
      <w:r>
        <w:t>Our goal was to identify the features that most inform the outcome of an election (percentage of vote for the Republican candidate on a 0-100 scale)</w:t>
      </w:r>
      <w:r w:rsidR="002B2F9A">
        <w:t xml:space="preserve"> and we believe the key features, after PVI and incumbency status, are the cash advantage at the beginning of the period, the total amount </w:t>
      </w:r>
      <w:r w:rsidR="00A94E43">
        <w:t>raised by the end of the period.</w:t>
      </w:r>
    </w:p>
    <w:p w14:paraId="398ABB26" w14:textId="77777777" w:rsidR="00D97B4E" w:rsidRDefault="00D97B4E" w:rsidP="008F288B"/>
    <w:p w14:paraId="4790AAC7" w14:textId="16995CD3" w:rsidR="007B19EC" w:rsidRPr="00A05C0D" w:rsidRDefault="007B19EC" w:rsidP="007B19EC">
      <w:pPr>
        <w:pStyle w:val="ListParagraph"/>
        <w:numPr>
          <w:ilvl w:val="0"/>
          <w:numId w:val="1"/>
        </w:numPr>
        <w:rPr>
          <w:b/>
          <w:sz w:val="28"/>
          <w:szCs w:val="28"/>
        </w:rPr>
      </w:pPr>
      <w:r w:rsidRPr="00A05C0D">
        <w:rPr>
          <w:b/>
          <w:sz w:val="28"/>
          <w:szCs w:val="28"/>
        </w:rPr>
        <w:t>P</w:t>
      </w:r>
      <w:r w:rsidR="008F288B" w:rsidRPr="00A05C0D">
        <w:rPr>
          <w:b/>
          <w:sz w:val="28"/>
          <w:szCs w:val="28"/>
        </w:rPr>
        <w:t>redicting Performance for 2016</w:t>
      </w:r>
    </w:p>
    <w:p w14:paraId="4AF0FA78" w14:textId="77777777" w:rsidR="00A15CAD" w:rsidRDefault="00A15CAD" w:rsidP="008F288B"/>
    <w:p w14:paraId="20043340" w14:textId="37C12087" w:rsidR="007D49AE" w:rsidRDefault="007D49AE" w:rsidP="00741D7A">
      <w:pPr>
        <w:jc w:val="both"/>
      </w:pPr>
      <w:r>
        <w:t>Thanks to the above models, we have some significant insight that can be used to help predict election outcomes in 2016 and, more importantly, identify under-performing and over-performing campaigns.</w:t>
      </w:r>
    </w:p>
    <w:p w14:paraId="201A8F80" w14:textId="77777777" w:rsidR="00DB639B" w:rsidRDefault="00DB639B" w:rsidP="00741D7A">
      <w:pPr>
        <w:jc w:val="both"/>
      </w:pPr>
    </w:p>
    <w:p w14:paraId="3D41F2DA" w14:textId="3E0B6F2F" w:rsidR="007D49AE" w:rsidRDefault="007D49AE" w:rsidP="00741D7A">
      <w:pPr>
        <w:jc w:val="both"/>
      </w:pPr>
      <w:r>
        <w:t xml:space="preserve">The first is that incumbents </w:t>
      </w:r>
      <w:r w:rsidR="00DB639B">
        <w:t>rarely require assistance. The power of incumbency correlates strongly to a 5- to 8-point increase over the mean, which alone is often enough to push a candidate over the 50% threshold (or just getting 1 vote more than anyone else).</w:t>
      </w:r>
      <w:r w:rsidR="007A1AC3">
        <w:t xml:space="preserve">  When an incumbent is in a swing-district, however, two features become exceptionally important.</w:t>
      </w:r>
    </w:p>
    <w:p w14:paraId="215B1398" w14:textId="77777777" w:rsidR="007A1AC3" w:rsidRDefault="007A1AC3" w:rsidP="00741D7A">
      <w:pPr>
        <w:jc w:val="both"/>
      </w:pPr>
    </w:p>
    <w:p w14:paraId="57B5240E" w14:textId="4AAAD11F" w:rsidR="007A1AC3" w:rsidRDefault="007A1AC3" w:rsidP="00741D7A">
      <w:pPr>
        <w:jc w:val="both"/>
      </w:pPr>
      <w:r>
        <w:t>The first is how much money the campaign has on hand when entering the 2</w:t>
      </w:r>
      <w:r w:rsidRPr="007A1AC3">
        <w:rPr>
          <w:vertAlign w:val="superscript"/>
        </w:rPr>
        <w:t>nd</w:t>
      </w:r>
      <w:r>
        <w:t xml:space="preserve"> quarter.  </w:t>
      </w:r>
      <w:r w:rsidR="00C2596E">
        <w:t>The reason this is more important than the cash on hand at the end of the period is because of party primaries, many of which occur during the 2</w:t>
      </w:r>
      <w:r w:rsidR="00C2596E" w:rsidRPr="00C2596E">
        <w:rPr>
          <w:vertAlign w:val="superscript"/>
        </w:rPr>
        <w:t>nd</w:t>
      </w:r>
      <w:r w:rsidR="00C2596E">
        <w:t xml:space="preserve"> or 3</w:t>
      </w:r>
      <w:r w:rsidR="00C2596E" w:rsidRPr="00C2596E">
        <w:rPr>
          <w:vertAlign w:val="superscript"/>
        </w:rPr>
        <w:t>rd</w:t>
      </w:r>
      <w:r w:rsidR="00C2596E">
        <w:t xml:space="preserve"> quarter, and generally drain cash but do not diminish a candidate’s standing if they are successful.</w:t>
      </w:r>
    </w:p>
    <w:p w14:paraId="1625618A" w14:textId="77777777" w:rsidR="00C2596E" w:rsidRDefault="00C2596E" w:rsidP="00741D7A">
      <w:pPr>
        <w:jc w:val="both"/>
      </w:pPr>
    </w:p>
    <w:p w14:paraId="7122BE85" w14:textId="7CDFB15B" w:rsidR="008F288B" w:rsidRDefault="00741D7A" w:rsidP="00741D7A">
      <w:pPr>
        <w:jc w:val="both"/>
      </w:pPr>
      <w:r>
        <w:t>Campaign often put a lot of emphasis on 2</w:t>
      </w:r>
      <w:r w:rsidRPr="00741D7A">
        <w:rPr>
          <w:vertAlign w:val="superscript"/>
        </w:rPr>
        <w:t>nd</w:t>
      </w:r>
      <w:r>
        <w:t xml:space="preserve"> quarter fundraising for the same reason we are looking at those reports – it’s the last metric they can’t fake until mid-October.</w:t>
      </w:r>
    </w:p>
    <w:p w14:paraId="30425C67" w14:textId="77777777" w:rsidR="00741D7A" w:rsidRDefault="00741D7A" w:rsidP="00741D7A">
      <w:pPr>
        <w:jc w:val="both"/>
      </w:pPr>
    </w:p>
    <w:p w14:paraId="2CA3FD60" w14:textId="3757A9D6" w:rsidR="00741D7A" w:rsidRDefault="00741D7A" w:rsidP="00741D7A">
      <w:pPr>
        <w:jc w:val="both"/>
      </w:pPr>
      <w:r>
        <w:t>Therefore, when getting ready for 2016, we can gain some insight on April 15</w:t>
      </w:r>
      <w:r w:rsidRPr="00741D7A">
        <w:rPr>
          <w:vertAlign w:val="superscript"/>
        </w:rPr>
        <w:t>th</w:t>
      </w:r>
      <w:r>
        <w:t xml:space="preserve"> by looking at a campaign’s cash on hand advantage over their Democratic opponent. On July 15</w:t>
      </w:r>
      <w:r w:rsidRPr="00741D7A">
        <w:rPr>
          <w:vertAlign w:val="superscript"/>
        </w:rPr>
        <w:t>th</w:t>
      </w:r>
      <w:r>
        <w:t>, when looking at campaign finance reports, the total raised should be the only metric taken seriously.</w:t>
      </w:r>
    </w:p>
    <w:sectPr w:rsidR="00741D7A" w:rsidSect="00BB27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C7E30" w14:textId="77777777" w:rsidR="001A7AB8" w:rsidRDefault="001A7AB8" w:rsidP="0090366D">
      <w:r>
        <w:separator/>
      </w:r>
    </w:p>
  </w:endnote>
  <w:endnote w:type="continuationSeparator" w:id="0">
    <w:p w14:paraId="6273994C" w14:textId="77777777" w:rsidR="001A7AB8" w:rsidRDefault="001A7AB8" w:rsidP="0090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D7949" w14:textId="77777777" w:rsidR="001A7AB8" w:rsidRDefault="001A7AB8" w:rsidP="0090366D">
      <w:r>
        <w:separator/>
      </w:r>
    </w:p>
  </w:footnote>
  <w:footnote w:type="continuationSeparator" w:id="0">
    <w:p w14:paraId="61040EA5" w14:textId="77777777" w:rsidR="001A7AB8" w:rsidRDefault="001A7AB8" w:rsidP="0090366D">
      <w:r>
        <w:continuationSeparator/>
      </w:r>
    </w:p>
  </w:footnote>
  <w:footnote w:id="1">
    <w:p w14:paraId="50C9EB2A" w14:textId="42A9AFD1" w:rsidR="008516BA" w:rsidRPr="001271F7" w:rsidRDefault="008516BA">
      <w:pPr>
        <w:pStyle w:val="FootnoteText"/>
        <w:rPr>
          <w:sz w:val="20"/>
          <w:szCs w:val="20"/>
        </w:rPr>
      </w:pPr>
      <w:r w:rsidRPr="001271F7">
        <w:rPr>
          <w:rStyle w:val="FootnoteReference"/>
          <w:sz w:val="20"/>
          <w:szCs w:val="20"/>
        </w:rPr>
        <w:footnoteRef/>
      </w:r>
      <w:r w:rsidRPr="001271F7">
        <w:rPr>
          <w:sz w:val="20"/>
          <w:szCs w:val="20"/>
        </w:rPr>
        <w:t xml:space="preserve"> </w:t>
      </w:r>
      <w:r w:rsidR="004565F8">
        <w:rPr>
          <w:sz w:val="20"/>
          <w:szCs w:val="20"/>
        </w:rPr>
        <w:t>Elections for C</w:t>
      </w:r>
      <w:r w:rsidRPr="001271F7">
        <w:rPr>
          <w:sz w:val="20"/>
          <w:szCs w:val="20"/>
        </w:rPr>
        <w:t>ongress</w:t>
      </w:r>
      <w:r w:rsidR="004565F8">
        <w:rPr>
          <w:sz w:val="20"/>
          <w:szCs w:val="20"/>
        </w:rPr>
        <w:t>ional representatives</w:t>
      </w:r>
      <w:r w:rsidRPr="001271F7">
        <w:rPr>
          <w:sz w:val="20"/>
          <w:szCs w:val="20"/>
        </w:rPr>
        <w:t xml:space="preserve"> in Washington, DC and Puerto Rico are not considered consequential because those members do not have any voting power in </w:t>
      </w:r>
      <w:r w:rsidR="004565F8">
        <w:rPr>
          <w:sz w:val="20"/>
          <w:szCs w:val="20"/>
        </w:rPr>
        <w:t>Congress</w:t>
      </w:r>
      <w:r w:rsidRPr="001271F7">
        <w:rPr>
          <w:sz w:val="20"/>
          <w:szCs w:val="20"/>
        </w:rPr>
        <w:t>.</w:t>
      </w:r>
    </w:p>
  </w:footnote>
  <w:footnote w:id="2">
    <w:p w14:paraId="554E03DC" w14:textId="4B8BBB6D" w:rsidR="00195B80" w:rsidRPr="001271F7" w:rsidRDefault="00195B80">
      <w:pPr>
        <w:pStyle w:val="FootnoteText"/>
        <w:rPr>
          <w:sz w:val="20"/>
          <w:szCs w:val="20"/>
        </w:rPr>
      </w:pPr>
      <w:r w:rsidRPr="001271F7">
        <w:rPr>
          <w:rStyle w:val="FootnoteReference"/>
          <w:sz w:val="20"/>
          <w:szCs w:val="20"/>
        </w:rPr>
        <w:footnoteRef/>
      </w:r>
      <w:r w:rsidRPr="001271F7">
        <w:rPr>
          <w:sz w:val="20"/>
          <w:szCs w:val="20"/>
        </w:rPr>
        <w:t xml:space="preserve"> “</w:t>
      </w:r>
      <w:r w:rsidR="00205BF9" w:rsidRPr="001271F7">
        <w:rPr>
          <w:sz w:val="20"/>
          <w:szCs w:val="20"/>
        </w:rPr>
        <w:t xml:space="preserve">Finding Fame </w:t>
      </w:r>
      <w:proofErr w:type="gramStart"/>
      <w:r w:rsidR="009521E8" w:rsidRPr="001271F7">
        <w:rPr>
          <w:sz w:val="20"/>
          <w:szCs w:val="20"/>
        </w:rPr>
        <w:t>With</w:t>
      </w:r>
      <w:proofErr w:type="gramEnd"/>
      <w:r w:rsidR="009521E8" w:rsidRPr="001271F7">
        <w:rPr>
          <w:sz w:val="20"/>
          <w:szCs w:val="20"/>
        </w:rPr>
        <w:t xml:space="preserve"> A </w:t>
      </w:r>
      <w:r w:rsidR="00205BF9" w:rsidRPr="001271F7">
        <w:rPr>
          <w:sz w:val="20"/>
          <w:szCs w:val="20"/>
        </w:rPr>
        <w:t xml:space="preserve">Prescient Call </w:t>
      </w:r>
      <w:r w:rsidR="009521E8" w:rsidRPr="001271F7">
        <w:rPr>
          <w:sz w:val="20"/>
          <w:szCs w:val="20"/>
        </w:rPr>
        <w:t xml:space="preserve">For </w:t>
      </w:r>
      <w:r w:rsidRPr="001271F7">
        <w:rPr>
          <w:sz w:val="20"/>
          <w:szCs w:val="20"/>
        </w:rPr>
        <w:t xml:space="preserve">Obama,” </w:t>
      </w:r>
      <w:hyperlink r:id="rId1" w:history="1">
        <w:r w:rsidRPr="001271F7">
          <w:rPr>
            <w:rStyle w:val="Hyperlink"/>
            <w:i/>
            <w:sz w:val="20"/>
            <w:szCs w:val="20"/>
          </w:rPr>
          <w:t>New York Times</w:t>
        </w:r>
      </w:hyperlink>
      <w:r w:rsidRPr="001271F7">
        <w:rPr>
          <w:sz w:val="20"/>
          <w:szCs w:val="20"/>
        </w:rPr>
        <w:t>, November 9, 2008</w:t>
      </w:r>
    </w:p>
  </w:footnote>
  <w:footnote w:id="3">
    <w:p w14:paraId="6D78188A" w14:textId="74905F35" w:rsidR="001271F7" w:rsidRPr="001271F7" w:rsidRDefault="001271F7" w:rsidP="001271F7">
      <w:pPr>
        <w:pStyle w:val="FootnoteText"/>
        <w:jc w:val="both"/>
        <w:rPr>
          <w:b/>
          <w:sz w:val="20"/>
          <w:szCs w:val="20"/>
        </w:rPr>
      </w:pPr>
      <w:r w:rsidRPr="001271F7">
        <w:rPr>
          <w:rStyle w:val="FootnoteReference"/>
          <w:sz w:val="20"/>
          <w:szCs w:val="20"/>
        </w:rPr>
        <w:footnoteRef/>
      </w:r>
      <w:r w:rsidRPr="001271F7">
        <w:rPr>
          <w:sz w:val="20"/>
          <w:szCs w:val="20"/>
        </w:rPr>
        <w:t xml:space="preserve"> “People </w:t>
      </w:r>
      <w:r w:rsidR="00B66CCA" w:rsidRPr="001271F7">
        <w:rPr>
          <w:sz w:val="20"/>
          <w:szCs w:val="20"/>
        </w:rPr>
        <w:t xml:space="preserve">Hate </w:t>
      </w:r>
      <w:r w:rsidRPr="001271F7">
        <w:rPr>
          <w:sz w:val="20"/>
          <w:szCs w:val="20"/>
        </w:rPr>
        <w:t>Congress</w:t>
      </w:r>
      <w:r w:rsidR="00B66CCA" w:rsidRPr="001271F7">
        <w:rPr>
          <w:sz w:val="20"/>
          <w:szCs w:val="20"/>
        </w:rPr>
        <w:t xml:space="preserve">. </w:t>
      </w:r>
      <w:r w:rsidRPr="001271F7">
        <w:rPr>
          <w:sz w:val="20"/>
          <w:szCs w:val="20"/>
        </w:rPr>
        <w:t xml:space="preserve">But </w:t>
      </w:r>
      <w:r w:rsidR="00B66CCA" w:rsidRPr="001271F7">
        <w:rPr>
          <w:sz w:val="20"/>
          <w:szCs w:val="20"/>
        </w:rPr>
        <w:t xml:space="preserve">Most Incumbents Get Re-Elected. </w:t>
      </w:r>
      <w:r w:rsidRPr="001271F7">
        <w:rPr>
          <w:sz w:val="20"/>
          <w:szCs w:val="20"/>
        </w:rPr>
        <w:t xml:space="preserve">What </w:t>
      </w:r>
      <w:r w:rsidR="00B66CCA" w:rsidRPr="001271F7">
        <w:rPr>
          <w:sz w:val="20"/>
          <w:szCs w:val="20"/>
        </w:rPr>
        <w:t>Gives</w:t>
      </w:r>
      <w:r w:rsidRPr="001271F7">
        <w:rPr>
          <w:sz w:val="20"/>
          <w:szCs w:val="20"/>
        </w:rPr>
        <w:t xml:space="preserve">?” </w:t>
      </w:r>
      <w:hyperlink r:id="rId2" w:history="1">
        <w:r w:rsidRPr="001271F7">
          <w:rPr>
            <w:rStyle w:val="Hyperlink"/>
            <w:i/>
            <w:sz w:val="20"/>
            <w:szCs w:val="20"/>
          </w:rPr>
          <w:t>Washington Post</w:t>
        </w:r>
      </w:hyperlink>
      <w:r w:rsidRPr="001271F7">
        <w:rPr>
          <w:sz w:val="20"/>
          <w:szCs w:val="20"/>
        </w:rPr>
        <w:t>, May 9, 2013</w:t>
      </w:r>
    </w:p>
  </w:footnote>
  <w:footnote w:id="4">
    <w:p w14:paraId="67078675" w14:textId="45FD7AFE" w:rsidR="00884B70" w:rsidRPr="00884B70" w:rsidRDefault="00884B70">
      <w:pPr>
        <w:pStyle w:val="FootnoteText"/>
        <w:rPr>
          <w:sz w:val="20"/>
          <w:szCs w:val="20"/>
        </w:rPr>
      </w:pPr>
      <w:r w:rsidRPr="00884B70">
        <w:rPr>
          <w:rStyle w:val="FootnoteReference"/>
          <w:sz w:val="20"/>
          <w:szCs w:val="20"/>
        </w:rPr>
        <w:footnoteRef/>
      </w:r>
      <w:r w:rsidRPr="00884B70">
        <w:rPr>
          <w:sz w:val="20"/>
          <w:szCs w:val="20"/>
        </w:rPr>
        <w:t xml:space="preserve"> Outside Spending, </w:t>
      </w:r>
      <w:hyperlink r:id="rId3" w:history="1">
        <w:r w:rsidRPr="00884B70">
          <w:rPr>
            <w:rStyle w:val="Hyperlink"/>
            <w:sz w:val="20"/>
            <w:szCs w:val="20"/>
          </w:rPr>
          <w:t>Center for Responsive Politics</w:t>
        </w:r>
      </w:hyperlink>
    </w:p>
  </w:footnote>
  <w:footnote w:id="5">
    <w:p w14:paraId="21FA42C1" w14:textId="239376AD" w:rsidR="00427571" w:rsidRPr="00427571" w:rsidRDefault="00427571">
      <w:pPr>
        <w:pStyle w:val="FootnoteText"/>
        <w:rPr>
          <w:sz w:val="20"/>
          <w:szCs w:val="20"/>
        </w:rPr>
      </w:pPr>
      <w:r w:rsidRPr="00427571">
        <w:rPr>
          <w:rStyle w:val="FootnoteReference"/>
          <w:sz w:val="20"/>
          <w:szCs w:val="20"/>
        </w:rPr>
        <w:footnoteRef/>
      </w:r>
      <w:r w:rsidRPr="00427571">
        <w:rPr>
          <w:sz w:val="20"/>
          <w:szCs w:val="20"/>
        </w:rPr>
        <w:t xml:space="preserve"> The model is useful in predicting outcomes for either party, but the purpose of this exercise is to focus only on Republican candidates.</w:t>
      </w:r>
    </w:p>
  </w:footnote>
  <w:footnote w:id="6">
    <w:p w14:paraId="2A464D41" w14:textId="7E0AFBA2" w:rsidR="00037590" w:rsidRPr="00D97B4E" w:rsidRDefault="00037590">
      <w:pPr>
        <w:pStyle w:val="FootnoteText"/>
        <w:rPr>
          <w:sz w:val="20"/>
          <w:szCs w:val="20"/>
        </w:rPr>
      </w:pPr>
      <w:r w:rsidRPr="00D97B4E">
        <w:rPr>
          <w:rStyle w:val="FootnoteReference"/>
          <w:sz w:val="20"/>
          <w:szCs w:val="20"/>
        </w:rPr>
        <w:footnoteRef/>
      </w:r>
      <w:r w:rsidRPr="00D97B4E">
        <w:rPr>
          <w:sz w:val="20"/>
          <w:szCs w:val="20"/>
        </w:rPr>
        <w:t xml:space="preserve"> In political polling, the commonly accepted margin of error fo</w:t>
      </w:r>
      <w:r w:rsidR="00D97B4E">
        <w:rPr>
          <w:sz w:val="20"/>
          <w:szCs w:val="20"/>
        </w:rPr>
        <w:t>r a valuable poll is +/- 3.5%. Our models will work on a scale of 0-100, with a goal of RMSE of 5.0, conversationally equivalent to a +/- 5.0%.</w:t>
      </w:r>
    </w:p>
  </w:footnote>
  <w:footnote w:id="7">
    <w:p w14:paraId="70FF8EFB" w14:textId="22C21471" w:rsidR="005C7265" w:rsidRPr="00430FBA" w:rsidRDefault="005C7265">
      <w:pPr>
        <w:pStyle w:val="FootnoteText"/>
        <w:rPr>
          <w:sz w:val="20"/>
          <w:szCs w:val="20"/>
        </w:rPr>
      </w:pPr>
      <w:r w:rsidRPr="00430FBA">
        <w:rPr>
          <w:rStyle w:val="FootnoteReference"/>
          <w:sz w:val="20"/>
          <w:szCs w:val="20"/>
        </w:rPr>
        <w:footnoteRef/>
      </w:r>
      <w:r w:rsidRPr="00430FBA">
        <w:rPr>
          <w:sz w:val="20"/>
          <w:szCs w:val="20"/>
        </w:rPr>
        <w:t xml:space="preserve"> U.S. Census Bureau American Community Survey Data, </w:t>
      </w:r>
      <w:hyperlink r:id="rId4" w:history="1">
        <w:r w:rsidRPr="00430FBA">
          <w:rPr>
            <w:rStyle w:val="Hyperlink"/>
            <w:sz w:val="20"/>
            <w:szCs w:val="20"/>
          </w:rPr>
          <w:t>http://www.census.gov/</w:t>
        </w:r>
      </w:hyperlink>
      <w:r w:rsidRPr="00430FBA">
        <w:rPr>
          <w:sz w:val="20"/>
          <w:szCs w:val="20"/>
        </w:rPr>
        <w:t xml:space="preserve"> </w:t>
      </w:r>
    </w:p>
  </w:footnote>
  <w:footnote w:id="8">
    <w:p w14:paraId="2BE3E4A8" w14:textId="33CF86BE" w:rsidR="00430FBA" w:rsidRPr="00430FBA" w:rsidRDefault="00430FBA">
      <w:pPr>
        <w:pStyle w:val="FootnoteText"/>
        <w:rPr>
          <w:sz w:val="20"/>
          <w:szCs w:val="20"/>
        </w:rPr>
      </w:pPr>
      <w:r w:rsidRPr="00430FBA">
        <w:rPr>
          <w:rStyle w:val="FootnoteReference"/>
          <w:sz w:val="20"/>
          <w:szCs w:val="20"/>
        </w:rPr>
        <w:footnoteRef/>
      </w:r>
      <w:r w:rsidRPr="00430FBA">
        <w:rPr>
          <w:sz w:val="20"/>
          <w:szCs w:val="20"/>
        </w:rPr>
        <w:t xml:space="preserve"> Cook Political Report explanation of how index is calculated, </w:t>
      </w:r>
      <w:hyperlink r:id="rId5" w:history="1">
        <w:r w:rsidRPr="00430FBA">
          <w:rPr>
            <w:rStyle w:val="Hyperlink"/>
            <w:sz w:val="20"/>
            <w:szCs w:val="20"/>
          </w:rPr>
          <w:t>http://cookpolitical.com/</w:t>
        </w:r>
      </w:hyperlink>
      <w:r w:rsidRPr="00430FBA">
        <w:rPr>
          <w:sz w:val="20"/>
          <w:szCs w:val="20"/>
        </w:rPr>
        <w:t xml:space="preserve"> </w:t>
      </w:r>
    </w:p>
  </w:footnote>
  <w:footnote w:id="9">
    <w:p w14:paraId="2BCE5D82" w14:textId="78EB8365" w:rsidR="00A15768" w:rsidRPr="00430FBA" w:rsidRDefault="00A15768">
      <w:pPr>
        <w:pStyle w:val="FootnoteText"/>
        <w:rPr>
          <w:sz w:val="20"/>
          <w:szCs w:val="20"/>
        </w:rPr>
      </w:pPr>
      <w:r w:rsidRPr="00430FBA">
        <w:rPr>
          <w:rStyle w:val="FootnoteReference"/>
          <w:sz w:val="20"/>
          <w:szCs w:val="20"/>
        </w:rPr>
        <w:footnoteRef/>
      </w:r>
      <w:r w:rsidRPr="00430FBA">
        <w:rPr>
          <w:sz w:val="20"/>
          <w:szCs w:val="20"/>
        </w:rPr>
        <w:t xml:space="preserve"> Federal Election Commission Data Catalogue, </w:t>
      </w:r>
      <w:hyperlink r:id="rId6" w:history="1">
        <w:r w:rsidRPr="00430FBA">
          <w:rPr>
            <w:rStyle w:val="Hyperlink"/>
            <w:sz w:val="20"/>
            <w:szCs w:val="20"/>
          </w:rPr>
          <w:t>http://www.fec.gov/</w:t>
        </w:r>
      </w:hyperlink>
      <w:r w:rsidRPr="00430FBA">
        <w:rPr>
          <w:sz w:val="20"/>
          <w:szCs w:val="20"/>
        </w:rPr>
        <w:t xml:space="preserve"> </w:t>
      </w:r>
    </w:p>
  </w:footnote>
  <w:footnote w:id="10">
    <w:p w14:paraId="42A6734B" w14:textId="26C50822" w:rsidR="007C2D37" w:rsidRPr="007C2D37" w:rsidRDefault="007C2D37">
      <w:pPr>
        <w:pStyle w:val="FootnoteText"/>
        <w:rPr>
          <w:sz w:val="20"/>
          <w:szCs w:val="20"/>
        </w:rPr>
      </w:pPr>
      <w:r w:rsidRPr="007C2D37">
        <w:rPr>
          <w:rStyle w:val="FootnoteReference"/>
          <w:sz w:val="20"/>
          <w:szCs w:val="20"/>
        </w:rPr>
        <w:footnoteRef/>
      </w:r>
      <w:r w:rsidRPr="007C2D37">
        <w:rPr>
          <w:sz w:val="20"/>
          <w:szCs w:val="20"/>
        </w:rPr>
        <w:t xml:space="preserve"> </w:t>
      </w:r>
      <w:r w:rsidR="009E27D6">
        <w:rPr>
          <w:sz w:val="20"/>
          <w:szCs w:val="20"/>
        </w:rPr>
        <w:t>Similar studies have found a similar correlation between population density and the partisanship of the congressional district</w:t>
      </w:r>
      <w:r w:rsidRPr="007C2D37">
        <w:rPr>
          <w:sz w:val="20"/>
          <w:szCs w:val="20"/>
        </w:rPr>
        <w:t xml:space="preserve">.  See “If You Live Near Other People, You're Probably a Democrat. If Your Neighbors Are Distant, Republican” in </w:t>
      </w:r>
      <w:hyperlink r:id="rId7" w:history="1">
        <w:r w:rsidRPr="007C2D37">
          <w:rPr>
            <w:rStyle w:val="Hyperlink"/>
            <w:i/>
            <w:sz w:val="20"/>
            <w:szCs w:val="20"/>
          </w:rPr>
          <w:t>The Atlantic</w:t>
        </w:r>
      </w:hyperlink>
      <w:r w:rsidRPr="007C2D37">
        <w:rPr>
          <w:sz w:val="20"/>
          <w:szCs w:val="20"/>
        </w:rPr>
        <w:t>.</w:t>
      </w:r>
    </w:p>
  </w:footnote>
  <w:footnote w:id="11">
    <w:p w14:paraId="60584A92" w14:textId="3E4AB31F" w:rsidR="001E214B" w:rsidRPr="001E214B" w:rsidRDefault="001E214B">
      <w:pPr>
        <w:pStyle w:val="FootnoteText"/>
        <w:rPr>
          <w:sz w:val="20"/>
          <w:szCs w:val="20"/>
        </w:rPr>
      </w:pPr>
      <w:r w:rsidRPr="001E214B">
        <w:rPr>
          <w:rStyle w:val="FootnoteReference"/>
          <w:sz w:val="20"/>
          <w:szCs w:val="20"/>
        </w:rPr>
        <w:footnoteRef/>
      </w:r>
      <w:r w:rsidRPr="001E214B">
        <w:rPr>
          <w:sz w:val="20"/>
          <w:szCs w:val="20"/>
        </w:rPr>
        <w:t xml:space="preserve"> Data Dictionary: </w:t>
      </w:r>
      <w:hyperlink r:id="rId8" w:history="1">
        <w:r w:rsidRPr="001E214B">
          <w:rPr>
            <w:rStyle w:val="Hyperlink"/>
            <w:sz w:val="20"/>
            <w:szCs w:val="20"/>
          </w:rPr>
          <w:t>https://github.com/</w:t>
        </w:r>
      </w:hyperlink>
      <w:r w:rsidRPr="001E214B">
        <w:rPr>
          <w:sz w:val="20"/>
          <w:szCs w:val="20"/>
        </w:rPr>
        <w:t xml:space="preserve"> </w:t>
      </w:r>
    </w:p>
  </w:footnote>
  <w:footnote w:id="12">
    <w:p w14:paraId="390CA711" w14:textId="1393A4FA" w:rsidR="00E954A0" w:rsidRPr="00E954A0" w:rsidRDefault="00E954A0">
      <w:pPr>
        <w:pStyle w:val="FootnoteText"/>
        <w:rPr>
          <w:sz w:val="20"/>
          <w:szCs w:val="20"/>
        </w:rPr>
      </w:pPr>
      <w:r w:rsidRPr="00E954A0">
        <w:rPr>
          <w:rStyle w:val="FootnoteReference"/>
          <w:sz w:val="20"/>
          <w:szCs w:val="20"/>
        </w:rPr>
        <w:footnoteRef/>
      </w:r>
      <w:r w:rsidRPr="00E954A0">
        <w:rPr>
          <w:sz w:val="20"/>
          <w:szCs w:val="20"/>
        </w:rPr>
        <w:t xml:space="preserve"> View the complete decision tree: </w:t>
      </w:r>
      <w:hyperlink r:id="rId9" w:history="1">
        <w:r w:rsidRPr="00E954A0">
          <w:rPr>
            <w:rStyle w:val="Hyperlink"/>
            <w:sz w:val="20"/>
            <w:szCs w:val="20"/>
          </w:rPr>
          <w:t>https://raw.githubusercontent.com/</w:t>
        </w:r>
      </w:hyperlink>
      <w:r w:rsidRPr="00E954A0">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56794"/>
    <w:multiLevelType w:val="multilevel"/>
    <w:tmpl w:val="B15EE0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EC"/>
    <w:rsid w:val="000334BF"/>
    <w:rsid w:val="00037590"/>
    <w:rsid w:val="00070F0E"/>
    <w:rsid w:val="00097FD9"/>
    <w:rsid w:val="000B12F7"/>
    <w:rsid w:val="000C3F48"/>
    <w:rsid w:val="000E459B"/>
    <w:rsid w:val="000F136E"/>
    <w:rsid w:val="000F24E5"/>
    <w:rsid w:val="00102816"/>
    <w:rsid w:val="0011584F"/>
    <w:rsid w:val="001271F7"/>
    <w:rsid w:val="00135464"/>
    <w:rsid w:val="00170858"/>
    <w:rsid w:val="00171846"/>
    <w:rsid w:val="001927EB"/>
    <w:rsid w:val="00195B80"/>
    <w:rsid w:val="001A7AB8"/>
    <w:rsid w:val="001C2906"/>
    <w:rsid w:val="001E214B"/>
    <w:rsid w:val="001E228E"/>
    <w:rsid w:val="001E7A53"/>
    <w:rsid w:val="001F05F2"/>
    <w:rsid w:val="00205BF9"/>
    <w:rsid w:val="00212ED0"/>
    <w:rsid w:val="0022030C"/>
    <w:rsid w:val="00232546"/>
    <w:rsid w:val="00236A21"/>
    <w:rsid w:val="002908B4"/>
    <w:rsid w:val="00296C88"/>
    <w:rsid w:val="00296CC2"/>
    <w:rsid w:val="002A399E"/>
    <w:rsid w:val="002B2F9A"/>
    <w:rsid w:val="002B5F5C"/>
    <w:rsid w:val="002D62C7"/>
    <w:rsid w:val="002F7FDB"/>
    <w:rsid w:val="003021CC"/>
    <w:rsid w:val="00315592"/>
    <w:rsid w:val="00382D50"/>
    <w:rsid w:val="0042448A"/>
    <w:rsid w:val="00425572"/>
    <w:rsid w:val="00426D5C"/>
    <w:rsid w:val="00427571"/>
    <w:rsid w:val="00430FBA"/>
    <w:rsid w:val="00455F16"/>
    <w:rsid w:val="004565F8"/>
    <w:rsid w:val="004939F8"/>
    <w:rsid w:val="004B44BB"/>
    <w:rsid w:val="004E5D54"/>
    <w:rsid w:val="004E6F87"/>
    <w:rsid w:val="004F1ECE"/>
    <w:rsid w:val="00547CC7"/>
    <w:rsid w:val="00555701"/>
    <w:rsid w:val="00556B45"/>
    <w:rsid w:val="005A4A04"/>
    <w:rsid w:val="005C2F3B"/>
    <w:rsid w:val="005C7265"/>
    <w:rsid w:val="005F1843"/>
    <w:rsid w:val="005F32A4"/>
    <w:rsid w:val="005F4AE3"/>
    <w:rsid w:val="00613357"/>
    <w:rsid w:val="00620939"/>
    <w:rsid w:val="006263C1"/>
    <w:rsid w:val="006370FD"/>
    <w:rsid w:val="00641670"/>
    <w:rsid w:val="00656B76"/>
    <w:rsid w:val="00662949"/>
    <w:rsid w:val="00686A59"/>
    <w:rsid w:val="00695C2C"/>
    <w:rsid w:val="006C2DBD"/>
    <w:rsid w:val="006D386E"/>
    <w:rsid w:val="00740E2C"/>
    <w:rsid w:val="00741D7A"/>
    <w:rsid w:val="00753E90"/>
    <w:rsid w:val="00760F6A"/>
    <w:rsid w:val="00795643"/>
    <w:rsid w:val="007A1AC3"/>
    <w:rsid w:val="007A3AF0"/>
    <w:rsid w:val="007B19EC"/>
    <w:rsid w:val="007C2D37"/>
    <w:rsid w:val="007C6372"/>
    <w:rsid w:val="007D49AE"/>
    <w:rsid w:val="007D5B5E"/>
    <w:rsid w:val="007E247E"/>
    <w:rsid w:val="00801BFD"/>
    <w:rsid w:val="00814814"/>
    <w:rsid w:val="008516BA"/>
    <w:rsid w:val="00861F2F"/>
    <w:rsid w:val="00882BFD"/>
    <w:rsid w:val="00884B70"/>
    <w:rsid w:val="00884F9D"/>
    <w:rsid w:val="00886232"/>
    <w:rsid w:val="00896B11"/>
    <w:rsid w:val="008A5FA7"/>
    <w:rsid w:val="008E1851"/>
    <w:rsid w:val="008E229E"/>
    <w:rsid w:val="008F288B"/>
    <w:rsid w:val="008F52E8"/>
    <w:rsid w:val="00902CEC"/>
    <w:rsid w:val="0090366D"/>
    <w:rsid w:val="00911F20"/>
    <w:rsid w:val="009218B0"/>
    <w:rsid w:val="00921BB6"/>
    <w:rsid w:val="009266E3"/>
    <w:rsid w:val="00932E0A"/>
    <w:rsid w:val="009441C5"/>
    <w:rsid w:val="009521E8"/>
    <w:rsid w:val="0096305F"/>
    <w:rsid w:val="0096409B"/>
    <w:rsid w:val="009671D5"/>
    <w:rsid w:val="00970CD4"/>
    <w:rsid w:val="009836A9"/>
    <w:rsid w:val="009A2647"/>
    <w:rsid w:val="009E2617"/>
    <w:rsid w:val="009E27D6"/>
    <w:rsid w:val="00A02439"/>
    <w:rsid w:val="00A039F0"/>
    <w:rsid w:val="00A05C0D"/>
    <w:rsid w:val="00A07C15"/>
    <w:rsid w:val="00A10115"/>
    <w:rsid w:val="00A15768"/>
    <w:rsid w:val="00A15CAD"/>
    <w:rsid w:val="00A55979"/>
    <w:rsid w:val="00A67FB2"/>
    <w:rsid w:val="00A94E43"/>
    <w:rsid w:val="00AC0B9D"/>
    <w:rsid w:val="00AC6557"/>
    <w:rsid w:val="00AD16C9"/>
    <w:rsid w:val="00AE3C75"/>
    <w:rsid w:val="00AF28DB"/>
    <w:rsid w:val="00B043E4"/>
    <w:rsid w:val="00B1387B"/>
    <w:rsid w:val="00B139E9"/>
    <w:rsid w:val="00B45533"/>
    <w:rsid w:val="00B64FBA"/>
    <w:rsid w:val="00B66CCA"/>
    <w:rsid w:val="00B73A3D"/>
    <w:rsid w:val="00B92173"/>
    <w:rsid w:val="00B958CF"/>
    <w:rsid w:val="00BA0022"/>
    <w:rsid w:val="00BB2797"/>
    <w:rsid w:val="00BC23DC"/>
    <w:rsid w:val="00BE263C"/>
    <w:rsid w:val="00BE36CD"/>
    <w:rsid w:val="00BE5177"/>
    <w:rsid w:val="00C12136"/>
    <w:rsid w:val="00C2596E"/>
    <w:rsid w:val="00C47942"/>
    <w:rsid w:val="00C57FFB"/>
    <w:rsid w:val="00C637C3"/>
    <w:rsid w:val="00C65EF3"/>
    <w:rsid w:val="00CD358B"/>
    <w:rsid w:val="00CE311B"/>
    <w:rsid w:val="00D31D51"/>
    <w:rsid w:val="00D42A01"/>
    <w:rsid w:val="00D61F23"/>
    <w:rsid w:val="00D7099B"/>
    <w:rsid w:val="00D97B4E"/>
    <w:rsid w:val="00DA0CC3"/>
    <w:rsid w:val="00DA1047"/>
    <w:rsid w:val="00DB05A5"/>
    <w:rsid w:val="00DB639B"/>
    <w:rsid w:val="00DE1BF7"/>
    <w:rsid w:val="00DF3261"/>
    <w:rsid w:val="00E2033B"/>
    <w:rsid w:val="00E25B46"/>
    <w:rsid w:val="00E31AA7"/>
    <w:rsid w:val="00E332E9"/>
    <w:rsid w:val="00E501CC"/>
    <w:rsid w:val="00E51929"/>
    <w:rsid w:val="00E806A0"/>
    <w:rsid w:val="00E90ADA"/>
    <w:rsid w:val="00E954A0"/>
    <w:rsid w:val="00EA19F2"/>
    <w:rsid w:val="00ED2BE8"/>
    <w:rsid w:val="00EF2444"/>
    <w:rsid w:val="00F0031F"/>
    <w:rsid w:val="00F01B4C"/>
    <w:rsid w:val="00F10BBE"/>
    <w:rsid w:val="00F11F6D"/>
    <w:rsid w:val="00F1355C"/>
    <w:rsid w:val="00F262A1"/>
    <w:rsid w:val="00F3429C"/>
    <w:rsid w:val="00F42BB7"/>
    <w:rsid w:val="00F5093D"/>
    <w:rsid w:val="00F71CD7"/>
    <w:rsid w:val="00F72137"/>
    <w:rsid w:val="00F81D23"/>
    <w:rsid w:val="00F82B9F"/>
    <w:rsid w:val="00F916E0"/>
    <w:rsid w:val="00FA139F"/>
    <w:rsid w:val="00FB2235"/>
    <w:rsid w:val="00FD27C6"/>
    <w:rsid w:val="00FD57D5"/>
    <w:rsid w:val="00FF0D7B"/>
    <w:rsid w:val="00FF6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77C2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2C7"/>
    <w:rPr>
      <w:rFonts w:ascii="Times New Roman" w:hAnsi="Times New Roman" w:cs="Times New Roman"/>
    </w:rPr>
  </w:style>
  <w:style w:type="paragraph" w:styleId="Heading1">
    <w:name w:val="heading 1"/>
    <w:basedOn w:val="Normal"/>
    <w:next w:val="Normal"/>
    <w:link w:val="Heading1Char"/>
    <w:autoRedefine/>
    <w:uiPriority w:val="9"/>
    <w:qFormat/>
    <w:rsid w:val="00EF2444"/>
    <w:pPr>
      <w:keepNext/>
      <w:keepLines/>
      <w:outlineLvl w:val="0"/>
    </w:pPr>
    <w:rPr>
      <w:rFonts w:ascii="Garamond" w:eastAsiaTheme="majorEastAsia" w:hAnsi="Garamond" w:cstheme="majorBidi"/>
      <w:bCs/>
      <w:color w:val="C00000"/>
      <w:sz w:val="52"/>
      <w:szCs w:val="32"/>
    </w:rPr>
  </w:style>
  <w:style w:type="paragraph" w:styleId="Heading2">
    <w:name w:val="heading 2"/>
    <w:basedOn w:val="Normal"/>
    <w:next w:val="Normal"/>
    <w:link w:val="Heading2Char"/>
    <w:autoRedefine/>
    <w:uiPriority w:val="9"/>
    <w:semiHidden/>
    <w:unhideWhenUsed/>
    <w:qFormat/>
    <w:rsid w:val="00EF2444"/>
    <w:pPr>
      <w:keepNext/>
      <w:keepLines/>
      <w:pBdr>
        <w:bottom w:val="single" w:sz="4" w:space="1" w:color="auto"/>
      </w:pBdr>
      <w:spacing w:before="40"/>
      <w:outlineLvl w:val="1"/>
    </w:pPr>
    <w:rPr>
      <w:rFonts w:ascii="Garamond" w:eastAsiaTheme="majorEastAsia" w:hAnsi="Garamond" w:cstheme="majorBidi"/>
      <w:b/>
      <w:bCs/>
      <w:color w:val="000000" w:themeColor="text1"/>
      <w:sz w:val="28"/>
      <w:szCs w:val="26"/>
    </w:rPr>
  </w:style>
  <w:style w:type="paragraph" w:styleId="Heading3">
    <w:name w:val="heading 3"/>
    <w:basedOn w:val="Normal"/>
    <w:next w:val="Normal"/>
    <w:link w:val="Heading3Char"/>
    <w:autoRedefine/>
    <w:uiPriority w:val="9"/>
    <w:semiHidden/>
    <w:unhideWhenUsed/>
    <w:qFormat/>
    <w:rsid w:val="00EF2444"/>
    <w:pPr>
      <w:keepNext/>
      <w:keepLines/>
      <w:spacing w:before="40"/>
      <w:outlineLvl w:val="2"/>
    </w:pPr>
    <w:rPr>
      <w:rFonts w:eastAsiaTheme="majorEastAsia" w:cstheme="majorBidi"/>
      <w:b/>
      <w:bCs/>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44"/>
    <w:rPr>
      <w:rFonts w:ascii="Garamond" w:eastAsiaTheme="majorEastAsia" w:hAnsi="Garamond" w:cstheme="majorBidi"/>
      <w:bCs/>
      <w:color w:val="C00000"/>
      <w:sz w:val="52"/>
      <w:szCs w:val="32"/>
    </w:rPr>
  </w:style>
  <w:style w:type="character" w:customStyle="1" w:styleId="Heading2Char">
    <w:name w:val="Heading 2 Char"/>
    <w:basedOn w:val="DefaultParagraphFont"/>
    <w:link w:val="Heading2"/>
    <w:uiPriority w:val="9"/>
    <w:semiHidden/>
    <w:rsid w:val="00EF2444"/>
    <w:rPr>
      <w:rFonts w:ascii="Garamond" w:eastAsiaTheme="majorEastAsia" w:hAnsi="Garamond" w:cstheme="majorBidi"/>
      <w:b/>
      <w:bCs/>
      <w:color w:val="000000" w:themeColor="text1"/>
      <w:sz w:val="28"/>
      <w:szCs w:val="26"/>
    </w:rPr>
  </w:style>
  <w:style w:type="character" w:customStyle="1" w:styleId="Heading3Char">
    <w:name w:val="Heading 3 Char"/>
    <w:basedOn w:val="DefaultParagraphFont"/>
    <w:link w:val="Heading3"/>
    <w:uiPriority w:val="9"/>
    <w:semiHidden/>
    <w:rsid w:val="00EF2444"/>
    <w:rPr>
      <w:rFonts w:ascii="Times New Roman" w:eastAsiaTheme="majorEastAsia" w:hAnsi="Times New Roman" w:cstheme="majorBidi"/>
      <w:b/>
      <w:bCs/>
      <w:color w:val="000000" w:themeColor="text1"/>
      <w:sz w:val="26"/>
      <w:u w:val="single"/>
    </w:rPr>
  </w:style>
  <w:style w:type="paragraph" w:styleId="Quote">
    <w:name w:val="Quote"/>
    <w:basedOn w:val="Normal"/>
    <w:next w:val="Normal"/>
    <w:link w:val="QuoteChar"/>
    <w:autoRedefine/>
    <w:uiPriority w:val="29"/>
    <w:qFormat/>
    <w:rsid w:val="004B44BB"/>
    <w:pPr>
      <w:pBdr>
        <w:top w:val="single" w:sz="8" w:space="1" w:color="D9D9D9" w:themeColor="background1" w:themeShade="D9"/>
        <w:left w:val="single" w:sz="8" w:space="4" w:color="D9D9D9" w:themeColor="background1" w:themeShade="D9"/>
        <w:bottom w:val="single" w:sz="8" w:space="1" w:color="D9D9D9" w:themeColor="background1" w:themeShade="D9"/>
        <w:right w:val="single" w:sz="8" w:space="4" w:color="D9D9D9" w:themeColor="background1" w:themeShade="D9"/>
      </w:pBdr>
      <w:shd w:val="clear" w:color="auto" w:fill="E0E0E0"/>
      <w:jc w:val="both"/>
    </w:pPr>
    <w:rPr>
      <w:rFonts w:cstheme="minorBidi"/>
      <w:iCs/>
      <w:color w:val="000000" w:themeColor="text1"/>
    </w:rPr>
  </w:style>
  <w:style w:type="character" w:customStyle="1" w:styleId="QuoteChar">
    <w:name w:val="Quote Char"/>
    <w:basedOn w:val="DefaultParagraphFont"/>
    <w:link w:val="Quote"/>
    <w:uiPriority w:val="29"/>
    <w:rsid w:val="004B44BB"/>
    <w:rPr>
      <w:rFonts w:ascii="Times New Roman" w:hAnsi="Times New Roman"/>
      <w:iCs/>
      <w:color w:val="000000" w:themeColor="text1"/>
      <w:shd w:val="clear" w:color="auto" w:fill="E0E0E0"/>
    </w:rPr>
  </w:style>
  <w:style w:type="paragraph" w:styleId="ListParagraph">
    <w:name w:val="List Paragraph"/>
    <w:basedOn w:val="Normal"/>
    <w:uiPriority w:val="34"/>
    <w:qFormat/>
    <w:rsid w:val="007B19EC"/>
    <w:pPr>
      <w:ind w:left="720"/>
      <w:contextualSpacing/>
    </w:pPr>
    <w:rPr>
      <w:rFonts w:cstheme="minorBidi"/>
      <w:bCs/>
    </w:rPr>
  </w:style>
  <w:style w:type="paragraph" w:styleId="FootnoteText">
    <w:name w:val="footnote text"/>
    <w:basedOn w:val="Normal"/>
    <w:link w:val="FootnoteTextChar"/>
    <w:uiPriority w:val="99"/>
    <w:unhideWhenUsed/>
    <w:rsid w:val="0090366D"/>
    <w:rPr>
      <w:rFonts w:cstheme="minorBidi"/>
      <w:bCs/>
    </w:rPr>
  </w:style>
  <w:style w:type="character" w:customStyle="1" w:styleId="FootnoteTextChar">
    <w:name w:val="Footnote Text Char"/>
    <w:basedOn w:val="DefaultParagraphFont"/>
    <w:link w:val="FootnoteText"/>
    <w:uiPriority w:val="99"/>
    <w:rsid w:val="0090366D"/>
    <w:rPr>
      <w:rFonts w:ascii="Times New Roman" w:hAnsi="Times New Roman"/>
      <w:bCs/>
    </w:rPr>
  </w:style>
  <w:style w:type="character" w:styleId="FootnoteReference">
    <w:name w:val="footnote reference"/>
    <w:basedOn w:val="DefaultParagraphFont"/>
    <w:uiPriority w:val="99"/>
    <w:unhideWhenUsed/>
    <w:rsid w:val="0090366D"/>
    <w:rPr>
      <w:vertAlign w:val="superscript"/>
    </w:rPr>
  </w:style>
  <w:style w:type="paragraph" w:styleId="EndnoteText">
    <w:name w:val="endnote text"/>
    <w:basedOn w:val="Normal"/>
    <w:link w:val="EndnoteTextChar"/>
    <w:uiPriority w:val="99"/>
    <w:unhideWhenUsed/>
    <w:rsid w:val="008516BA"/>
    <w:rPr>
      <w:rFonts w:cstheme="minorBidi"/>
      <w:bCs/>
    </w:rPr>
  </w:style>
  <w:style w:type="character" w:customStyle="1" w:styleId="EndnoteTextChar">
    <w:name w:val="Endnote Text Char"/>
    <w:basedOn w:val="DefaultParagraphFont"/>
    <w:link w:val="EndnoteText"/>
    <w:uiPriority w:val="99"/>
    <w:rsid w:val="008516BA"/>
    <w:rPr>
      <w:rFonts w:ascii="Times New Roman" w:hAnsi="Times New Roman"/>
      <w:bCs/>
    </w:rPr>
  </w:style>
  <w:style w:type="character" w:styleId="EndnoteReference">
    <w:name w:val="endnote reference"/>
    <w:basedOn w:val="DefaultParagraphFont"/>
    <w:uiPriority w:val="99"/>
    <w:unhideWhenUsed/>
    <w:rsid w:val="008516BA"/>
    <w:rPr>
      <w:vertAlign w:val="superscript"/>
    </w:rPr>
  </w:style>
  <w:style w:type="character" w:styleId="Hyperlink">
    <w:name w:val="Hyperlink"/>
    <w:basedOn w:val="DefaultParagraphFont"/>
    <w:uiPriority w:val="99"/>
    <w:unhideWhenUsed/>
    <w:rsid w:val="00195B80"/>
    <w:rPr>
      <w:color w:val="0563C1" w:themeColor="hyperlink"/>
      <w:u w:val="single"/>
    </w:rPr>
  </w:style>
  <w:style w:type="paragraph" w:styleId="NormalWeb">
    <w:name w:val="Normal (Web)"/>
    <w:basedOn w:val="Normal"/>
    <w:uiPriority w:val="99"/>
    <w:semiHidden/>
    <w:unhideWhenUsed/>
    <w:rsid w:val="00AE3C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6845">
      <w:bodyDiv w:val="1"/>
      <w:marLeft w:val="0"/>
      <w:marRight w:val="0"/>
      <w:marTop w:val="0"/>
      <w:marBottom w:val="0"/>
      <w:divBdr>
        <w:top w:val="none" w:sz="0" w:space="0" w:color="auto"/>
        <w:left w:val="none" w:sz="0" w:space="0" w:color="auto"/>
        <w:bottom w:val="none" w:sz="0" w:space="0" w:color="auto"/>
        <w:right w:val="none" w:sz="0" w:space="0" w:color="auto"/>
      </w:divBdr>
    </w:div>
    <w:div w:id="399060965">
      <w:bodyDiv w:val="1"/>
      <w:marLeft w:val="0"/>
      <w:marRight w:val="0"/>
      <w:marTop w:val="0"/>
      <w:marBottom w:val="0"/>
      <w:divBdr>
        <w:top w:val="none" w:sz="0" w:space="0" w:color="auto"/>
        <w:left w:val="none" w:sz="0" w:space="0" w:color="auto"/>
        <w:bottom w:val="none" w:sz="0" w:space="0" w:color="auto"/>
        <w:right w:val="none" w:sz="0" w:space="0" w:color="auto"/>
      </w:divBdr>
    </w:div>
    <w:div w:id="551625240">
      <w:bodyDiv w:val="1"/>
      <w:marLeft w:val="0"/>
      <w:marRight w:val="0"/>
      <w:marTop w:val="0"/>
      <w:marBottom w:val="0"/>
      <w:divBdr>
        <w:top w:val="none" w:sz="0" w:space="0" w:color="auto"/>
        <w:left w:val="none" w:sz="0" w:space="0" w:color="auto"/>
        <w:bottom w:val="none" w:sz="0" w:space="0" w:color="auto"/>
        <w:right w:val="none" w:sz="0" w:space="0" w:color="auto"/>
      </w:divBdr>
    </w:div>
    <w:div w:id="676732914">
      <w:bodyDiv w:val="1"/>
      <w:marLeft w:val="0"/>
      <w:marRight w:val="0"/>
      <w:marTop w:val="0"/>
      <w:marBottom w:val="0"/>
      <w:divBdr>
        <w:top w:val="none" w:sz="0" w:space="0" w:color="auto"/>
        <w:left w:val="none" w:sz="0" w:space="0" w:color="auto"/>
        <w:bottom w:val="none" w:sz="0" w:space="0" w:color="auto"/>
        <w:right w:val="none" w:sz="0" w:space="0" w:color="auto"/>
      </w:divBdr>
    </w:div>
    <w:div w:id="719015755">
      <w:bodyDiv w:val="1"/>
      <w:marLeft w:val="0"/>
      <w:marRight w:val="0"/>
      <w:marTop w:val="0"/>
      <w:marBottom w:val="0"/>
      <w:divBdr>
        <w:top w:val="none" w:sz="0" w:space="0" w:color="auto"/>
        <w:left w:val="none" w:sz="0" w:space="0" w:color="auto"/>
        <w:bottom w:val="none" w:sz="0" w:space="0" w:color="auto"/>
        <w:right w:val="none" w:sz="0" w:space="0" w:color="auto"/>
      </w:divBdr>
    </w:div>
    <w:div w:id="954291877">
      <w:bodyDiv w:val="1"/>
      <w:marLeft w:val="0"/>
      <w:marRight w:val="0"/>
      <w:marTop w:val="0"/>
      <w:marBottom w:val="0"/>
      <w:divBdr>
        <w:top w:val="none" w:sz="0" w:space="0" w:color="auto"/>
        <w:left w:val="none" w:sz="0" w:space="0" w:color="auto"/>
        <w:bottom w:val="none" w:sz="0" w:space="0" w:color="auto"/>
        <w:right w:val="none" w:sz="0" w:space="0" w:color="auto"/>
      </w:divBdr>
    </w:div>
    <w:div w:id="979529568">
      <w:bodyDiv w:val="1"/>
      <w:marLeft w:val="0"/>
      <w:marRight w:val="0"/>
      <w:marTop w:val="0"/>
      <w:marBottom w:val="0"/>
      <w:divBdr>
        <w:top w:val="none" w:sz="0" w:space="0" w:color="auto"/>
        <w:left w:val="none" w:sz="0" w:space="0" w:color="auto"/>
        <w:bottom w:val="none" w:sz="0" w:space="0" w:color="auto"/>
        <w:right w:val="none" w:sz="0" w:space="0" w:color="auto"/>
      </w:divBdr>
    </w:div>
    <w:div w:id="1270351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ww.opensecrets.org/outsidespending/fes_summ.php" TargetMode="External"/><Relationship Id="rId4" Type="http://schemas.openxmlformats.org/officeDocument/2006/relationships/hyperlink" Target="http://www.census.gov/data/developers/data-sets/acs-survey-3-year-data.html" TargetMode="External"/><Relationship Id="rId5" Type="http://schemas.openxmlformats.org/officeDocument/2006/relationships/hyperlink" Target="http://cookpolitical.com/story/5604" TargetMode="External"/><Relationship Id="rId6" Type="http://schemas.openxmlformats.org/officeDocument/2006/relationships/hyperlink" Target="http://www.fec.gov/data/DataCatalog.do" TargetMode="External"/><Relationship Id="rId7" Type="http://schemas.openxmlformats.org/officeDocument/2006/relationships/hyperlink" Target="http://www.citylab.com/politics/2013/09/if-you-live-near-other-people-youre-probably-democrat-if-your-neighbors-are-distant-republican/7047/" TargetMode="External"/><Relationship Id="rId8" Type="http://schemas.openxmlformats.org/officeDocument/2006/relationships/hyperlink" Target="https://github.com/milleractual/cong_pred_model/blob/master/datadictionary.txt" TargetMode="External"/><Relationship Id="rId9" Type="http://schemas.openxmlformats.org/officeDocument/2006/relationships/hyperlink" Target="https://raw.githubusercontent.com/milleractual/cong_pred_model/master/Visualizations/Full_Tree.png" TargetMode="External"/><Relationship Id="rId1" Type="http://schemas.openxmlformats.org/officeDocument/2006/relationships/hyperlink" Target="http://www.nytimes.com/2008/11/10/business/media/10silver.html?pagewanted=all" TargetMode="External"/><Relationship Id="rId2" Type="http://schemas.openxmlformats.org/officeDocument/2006/relationships/hyperlink" Target="http://www.washingtonpost.com/blogs/the-fix/wp/2013/05/09/people-hate-congress-but-most-incumbents-get-re-elected-what-g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7A157-3258-3D45-9D4D-9359BFD2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2217</Words>
  <Characters>12638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Miller</dc:creator>
  <cp:keywords/>
  <dc:description/>
  <cp:lastModifiedBy>Lloyd Miller</cp:lastModifiedBy>
  <cp:revision>156</cp:revision>
  <dcterms:created xsi:type="dcterms:W3CDTF">2015-05-17T03:19:00Z</dcterms:created>
  <dcterms:modified xsi:type="dcterms:W3CDTF">2015-06-03T14:13:00Z</dcterms:modified>
</cp:coreProperties>
</file>