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1DE65E79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3B81BCFA" w14:textId="77777777" w:rsidR="00FE072B" w:rsidRPr="009A1569" w:rsidRDefault="00FE072B" w:rsidP="00FE072B">
      <w:pPr>
        <w:spacing w:line="480" w:lineRule="auto"/>
        <w:jc w:val="both"/>
      </w:pPr>
      <w:r w:rsidRPr="00573905">
        <w:rPr>
          <w:b/>
          <w:bCs/>
        </w:rPr>
        <w:t>Table S</w:t>
      </w:r>
      <w:r>
        <w:rPr>
          <w:b/>
          <w:bCs/>
        </w:rPr>
        <w:t xml:space="preserve">1. </w:t>
      </w:r>
      <w:r>
        <w:t>Baseline characteristics by filaggrin mutation status and thenar hyperlinearity score (computational).</w:t>
      </w:r>
    </w:p>
    <w:p w14:paraId="7B3B85E1" w14:textId="77777777" w:rsidR="00FE072B" w:rsidRDefault="00FE072B" w:rsidP="00FE072B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01"/>
        <w:gridCol w:w="1346"/>
        <w:gridCol w:w="1276"/>
        <w:gridCol w:w="1275"/>
        <w:gridCol w:w="1276"/>
        <w:gridCol w:w="1276"/>
        <w:gridCol w:w="1366"/>
      </w:tblGrid>
      <w:tr w:rsidR="00FE072B" w:rsidRPr="00FE072B" w14:paraId="77344746" w14:textId="77777777" w:rsidTr="00FE072B">
        <w:tc>
          <w:tcPr>
            <w:tcW w:w="1201" w:type="dxa"/>
            <w:vMerge w:val="restart"/>
          </w:tcPr>
          <w:p w14:paraId="358BF862" w14:textId="77777777" w:rsidR="00FE072B" w:rsidRPr="00FE072B" w:rsidRDefault="00FE072B" w:rsidP="0074015E">
            <w:pPr>
              <w:jc w:val="both"/>
              <w:rPr>
                <w:rFonts w:cs="Times New Roman"/>
                <w:sz w:val="20"/>
                <w:szCs w:val="20"/>
                <w:lang w:val="en-BR"/>
              </w:rPr>
            </w:pPr>
          </w:p>
        </w:tc>
        <w:tc>
          <w:tcPr>
            <w:tcW w:w="3897" w:type="dxa"/>
            <w:gridSpan w:val="3"/>
          </w:tcPr>
          <w:p w14:paraId="55C493F4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  <w:lang w:val="en-BR"/>
              </w:rPr>
            </w:pPr>
            <w:r w:rsidRPr="00FE072B">
              <w:rPr>
                <w:rFonts w:cs="Times New Roman"/>
                <w:sz w:val="20"/>
                <w:szCs w:val="20"/>
              </w:rPr>
              <w:t>Filaggrin (</w:t>
            </w:r>
            <w:r w:rsidRPr="00FE072B">
              <w:rPr>
                <w:rFonts w:cs="Times New Roman"/>
                <w:i/>
                <w:iCs/>
                <w:sz w:val="20"/>
                <w:szCs w:val="20"/>
              </w:rPr>
              <w:t>FLG</w:t>
            </w:r>
            <w:r w:rsidRPr="00FE072B">
              <w:rPr>
                <w:rFonts w:cs="Times New Roman"/>
                <w:sz w:val="20"/>
                <w:szCs w:val="20"/>
              </w:rPr>
              <w:t>) gene mutation status</w:t>
            </w:r>
          </w:p>
        </w:tc>
        <w:tc>
          <w:tcPr>
            <w:tcW w:w="3918" w:type="dxa"/>
            <w:gridSpan w:val="3"/>
          </w:tcPr>
          <w:p w14:paraId="716CD500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Thenar hyperlinearity score (computational)</w:t>
            </w:r>
          </w:p>
        </w:tc>
      </w:tr>
      <w:tr w:rsidR="00FE072B" w:rsidRPr="00FE072B" w14:paraId="1D15EB51" w14:textId="77777777" w:rsidTr="00FE072B">
        <w:tc>
          <w:tcPr>
            <w:tcW w:w="1201" w:type="dxa"/>
            <w:vMerge/>
          </w:tcPr>
          <w:p w14:paraId="2B9F4663" w14:textId="77777777" w:rsidR="00FE072B" w:rsidRPr="00FE072B" w:rsidRDefault="00FE072B" w:rsidP="0074015E">
            <w:pPr>
              <w:jc w:val="both"/>
              <w:rPr>
                <w:rFonts w:cs="Times New Roman"/>
                <w:sz w:val="20"/>
                <w:szCs w:val="20"/>
                <w:lang w:val="en-BR"/>
              </w:rPr>
            </w:pPr>
          </w:p>
        </w:tc>
        <w:tc>
          <w:tcPr>
            <w:tcW w:w="1346" w:type="dxa"/>
          </w:tcPr>
          <w:p w14:paraId="185C047B" w14:textId="12854CA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Wild type</w:t>
            </w:r>
          </w:p>
          <w:p w14:paraId="1D24A539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(n=324)</w:t>
            </w:r>
          </w:p>
        </w:tc>
        <w:tc>
          <w:tcPr>
            <w:tcW w:w="1276" w:type="dxa"/>
          </w:tcPr>
          <w:p w14:paraId="21E33A93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i/>
                <w:iCs/>
                <w:sz w:val="20"/>
                <w:szCs w:val="20"/>
              </w:rPr>
              <w:t>FLG</w:t>
            </w:r>
            <w:r w:rsidRPr="00FE072B">
              <w:rPr>
                <w:rFonts w:cs="Times New Roman"/>
                <w:sz w:val="20"/>
                <w:szCs w:val="20"/>
              </w:rPr>
              <w:t xml:space="preserve"> -/+ (n=179)</w:t>
            </w:r>
          </w:p>
        </w:tc>
        <w:tc>
          <w:tcPr>
            <w:tcW w:w="1275" w:type="dxa"/>
          </w:tcPr>
          <w:p w14:paraId="254ADC17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i/>
                <w:iCs/>
                <w:sz w:val="20"/>
                <w:szCs w:val="20"/>
              </w:rPr>
              <w:t>FLG</w:t>
            </w:r>
            <w:r w:rsidRPr="00FE072B">
              <w:rPr>
                <w:rFonts w:cs="Times New Roman"/>
                <w:sz w:val="20"/>
                <w:szCs w:val="20"/>
              </w:rPr>
              <w:t xml:space="preserve"> -/- (n=28)</w:t>
            </w:r>
          </w:p>
        </w:tc>
        <w:tc>
          <w:tcPr>
            <w:tcW w:w="1276" w:type="dxa"/>
          </w:tcPr>
          <w:p w14:paraId="43EA2B28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 xml:space="preserve">&lt;10 000 </w:t>
            </w:r>
          </w:p>
          <w:p w14:paraId="09867E58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(n=178)</w:t>
            </w:r>
          </w:p>
        </w:tc>
        <w:tc>
          <w:tcPr>
            <w:tcW w:w="1276" w:type="dxa"/>
          </w:tcPr>
          <w:p w14:paraId="3A88A76D" w14:textId="77777777" w:rsidR="00FE072B" w:rsidRPr="00FE072B" w:rsidRDefault="00FE072B" w:rsidP="00FE072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10 000 –</w:t>
            </w:r>
          </w:p>
          <w:p w14:paraId="62503F2A" w14:textId="3B941223" w:rsidR="00FE072B" w:rsidRPr="00FE072B" w:rsidRDefault="00FE072B" w:rsidP="00FE072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 xml:space="preserve"> 20 000 </w:t>
            </w:r>
          </w:p>
          <w:p w14:paraId="07A99D29" w14:textId="39BB5247" w:rsidR="00FE072B" w:rsidRPr="00FE072B" w:rsidRDefault="00FE072B" w:rsidP="00FE072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(n=290)</w:t>
            </w:r>
          </w:p>
        </w:tc>
        <w:tc>
          <w:tcPr>
            <w:tcW w:w="1366" w:type="dxa"/>
          </w:tcPr>
          <w:p w14:paraId="10FEE14C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&gt;20 000 (n=63)</w:t>
            </w:r>
          </w:p>
        </w:tc>
      </w:tr>
      <w:tr w:rsidR="00FE072B" w:rsidRPr="00FE072B" w14:paraId="57FE8F53" w14:textId="77777777" w:rsidTr="007A04DE">
        <w:tc>
          <w:tcPr>
            <w:tcW w:w="9016" w:type="dxa"/>
            <w:gridSpan w:val="7"/>
          </w:tcPr>
          <w:p w14:paraId="17C4124B" w14:textId="27C0546E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Continuous variables (mean ±standard deviation (count))</w:t>
            </w:r>
          </w:p>
        </w:tc>
      </w:tr>
      <w:tr w:rsidR="00FE072B" w:rsidRPr="00FE072B" w14:paraId="58E315DD" w14:textId="77777777" w:rsidTr="00FE072B">
        <w:tc>
          <w:tcPr>
            <w:tcW w:w="1201" w:type="dxa"/>
          </w:tcPr>
          <w:p w14:paraId="6CF13992" w14:textId="77777777" w:rsidR="00FE072B" w:rsidRPr="00FE072B" w:rsidRDefault="00FE072B" w:rsidP="0074015E">
            <w:pPr>
              <w:jc w:val="both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Age</w:t>
            </w:r>
          </w:p>
        </w:tc>
        <w:tc>
          <w:tcPr>
            <w:tcW w:w="1346" w:type="dxa"/>
          </w:tcPr>
          <w:p w14:paraId="7D3A8A40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10.8 ±6.6 (n=324)</w:t>
            </w:r>
          </w:p>
        </w:tc>
        <w:tc>
          <w:tcPr>
            <w:tcW w:w="1276" w:type="dxa"/>
          </w:tcPr>
          <w:p w14:paraId="49D6AEF6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10.1 ±6.2 (n=179)</w:t>
            </w:r>
          </w:p>
        </w:tc>
        <w:tc>
          <w:tcPr>
            <w:tcW w:w="1275" w:type="dxa"/>
          </w:tcPr>
          <w:p w14:paraId="4C02FAFE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12.5 ±8.4 (n=28)</w:t>
            </w:r>
          </w:p>
        </w:tc>
        <w:tc>
          <w:tcPr>
            <w:tcW w:w="1276" w:type="dxa"/>
          </w:tcPr>
          <w:p w14:paraId="14967BC5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 xml:space="preserve">9.9 ±6.0 </w:t>
            </w:r>
          </w:p>
          <w:p w14:paraId="2963C422" w14:textId="658E0659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(n=178)</w:t>
            </w:r>
          </w:p>
        </w:tc>
        <w:tc>
          <w:tcPr>
            <w:tcW w:w="1276" w:type="dxa"/>
          </w:tcPr>
          <w:p w14:paraId="6E036D0D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 xml:space="preserve">10.7 ±6.7 </w:t>
            </w:r>
          </w:p>
          <w:p w14:paraId="7368085E" w14:textId="489A9999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(n=290)</w:t>
            </w:r>
          </w:p>
        </w:tc>
        <w:tc>
          <w:tcPr>
            <w:tcW w:w="1366" w:type="dxa"/>
          </w:tcPr>
          <w:p w14:paraId="7915EAF1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12.4 ±7.1 (n=63)</w:t>
            </w:r>
          </w:p>
        </w:tc>
      </w:tr>
      <w:tr w:rsidR="00FE072B" w:rsidRPr="00FE072B" w14:paraId="1BEEC46B" w14:textId="77777777" w:rsidTr="00FE072B">
        <w:tc>
          <w:tcPr>
            <w:tcW w:w="1201" w:type="dxa"/>
          </w:tcPr>
          <w:p w14:paraId="1ACA91EF" w14:textId="19D49C23" w:rsidR="00FE072B" w:rsidRPr="00FE072B" w:rsidRDefault="00FE072B" w:rsidP="0074015E">
            <w:pPr>
              <w:jc w:val="both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EASI*</w:t>
            </w:r>
          </w:p>
        </w:tc>
        <w:tc>
          <w:tcPr>
            <w:tcW w:w="1346" w:type="dxa"/>
          </w:tcPr>
          <w:p w14:paraId="684D3EB6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7.4 ±8.8 (n=324)</w:t>
            </w:r>
          </w:p>
        </w:tc>
        <w:tc>
          <w:tcPr>
            <w:tcW w:w="1276" w:type="dxa"/>
          </w:tcPr>
          <w:p w14:paraId="766BB17E" w14:textId="5AFDFFC0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8.9 ±9.8 (n=179)</w:t>
            </w:r>
          </w:p>
        </w:tc>
        <w:tc>
          <w:tcPr>
            <w:tcW w:w="1275" w:type="dxa"/>
          </w:tcPr>
          <w:p w14:paraId="1C8525C3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12.9 ±11.4 (n=28)</w:t>
            </w:r>
          </w:p>
        </w:tc>
        <w:tc>
          <w:tcPr>
            <w:tcW w:w="1276" w:type="dxa"/>
          </w:tcPr>
          <w:p w14:paraId="5CB88C86" w14:textId="0E8E659B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 xml:space="preserve">6.2 ±8.1 </w:t>
            </w:r>
          </w:p>
          <w:p w14:paraId="3B066E66" w14:textId="3AD6C7B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(n=178)</w:t>
            </w:r>
          </w:p>
        </w:tc>
        <w:tc>
          <w:tcPr>
            <w:tcW w:w="1276" w:type="dxa"/>
          </w:tcPr>
          <w:p w14:paraId="345D06DC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 xml:space="preserve">8.4 ±9.0 </w:t>
            </w:r>
          </w:p>
          <w:p w14:paraId="00C6209E" w14:textId="07DC956C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(n=290)</w:t>
            </w:r>
          </w:p>
        </w:tc>
        <w:tc>
          <w:tcPr>
            <w:tcW w:w="1366" w:type="dxa"/>
          </w:tcPr>
          <w:p w14:paraId="4BDDED8B" w14:textId="08F1342F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13.2 ±12.2 (n=63)</w:t>
            </w:r>
          </w:p>
        </w:tc>
      </w:tr>
      <w:tr w:rsidR="00FE072B" w:rsidRPr="00FE072B" w14:paraId="548408A1" w14:textId="77777777" w:rsidTr="00FE072B">
        <w:tc>
          <w:tcPr>
            <w:tcW w:w="1201" w:type="dxa"/>
          </w:tcPr>
          <w:p w14:paraId="31F1F06C" w14:textId="77777777" w:rsidR="00FE072B" w:rsidRPr="00FE072B" w:rsidRDefault="00FE072B" w:rsidP="0074015E">
            <w:pPr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FE072B">
              <w:rPr>
                <w:rFonts w:cs="Times New Roman"/>
                <w:sz w:val="20"/>
                <w:szCs w:val="20"/>
              </w:rPr>
              <w:t>IgE</w:t>
            </w:r>
            <w:proofErr w:type="spellEnd"/>
            <w:r w:rsidRPr="00FE072B">
              <w:rPr>
                <w:rFonts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346" w:type="dxa"/>
          </w:tcPr>
          <w:p w14:paraId="29A137E0" w14:textId="32E0A30E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6425 ±11954 (n=84)</w:t>
            </w:r>
          </w:p>
        </w:tc>
        <w:tc>
          <w:tcPr>
            <w:tcW w:w="1276" w:type="dxa"/>
          </w:tcPr>
          <w:p w14:paraId="28E961A5" w14:textId="0A2DCE2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6900 ±8137 (n=57)</w:t>
            </w:r>
          </w:p>
        </w:tc>
        <w:tc>
          <w:tcPr>
            <w:tcW w:w="1275" w:type="dxa"/>
          </w:tcPr>
          <w:p w14:paraId="1C53C58B" w14:textId="47E653D2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6173 ±5236 (n=12)</w:t>
            </w:r>
          </w:p>
        </w:tc>
        <w:tc>
          <w:tcPr>
            <w:tcW w:w="1276" w:type="dxa"/>
          </w:tcPr>
          <w:p w14:paraId="54CE2DBA" w14:textId="3B2DC97A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6769 ±14638 (n=46)</w:t>
            </w:r>
          </w:p>
        </w:tc>
        <w:tc>
          <w:tcPr>
            <w:tcW w:w="1276" w:type="dxa"/>
          </w:tcPr>
          <w:p w14:paraId="04BD164F" w14:textId="45E435CC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6074 ±7590 (n=88)</w:t>
            </w:r>
          </w:p>
        </w:tc>
        <w:tc>
          <w:tcPr>
            <w:tcW w:w="1366" w:type="dxa"/>
          </w:tcPr>
          <w:p w14:paraId="650D9117" w14:textId="6D397CCC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8483 ±8360 (n=19)</w:t>
            </w:r>
          </w:p>
        </w:tc>
      </w:tr>
      <w:tr w:rsidR="00FE072B" w:rsidRPr="00FE072B" w14:paraId="4364549C" w14:textId="77777777" w:rsidTr="00FE072B">
        <w:tc>
          <w:tcPr>
            <w:tcW w:w="9016" w:type="dxa"/>
            <w:gridSpan w:val="7"/>
          </w:tcPr>
          <w:p w14:paraId="684BEA31" w14:textId="5F29CD55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Categorical variables (number/count (%))</w:t>
            </w:r>
          </w:p>
        </w:tc>
      </w:tr>
      <w:tr w:rsidR="00FE072B" w:rsidRPr="00FE072B" w14:paraId="35A57D0D" w14:textId="77777777" w:rsidTr="00FE072B">
        <w:tc>
          <w:tcPr>
            <w:tcW w:w="1201" w:type="dxa"/>
          </w:tcPr>
          <w:p w14:paraId="7E032C87" w14:textId="433D1828" w:rsidR="00FE072B" w:rsidRPr="00FE072B" w:rsidRDefault="00FE072B" w:rsidP="0074015E">
            <w:pPr>
              <w:jc w:val="both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1346" w:type="dxa"/>
          </w:tcPr>
          <w:p w14:paraId="5AD03718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137/324 (42.3%)</w:t>
            </w:r>
          </w:p>
        </w:tc>
        <w:tc>
          <w:tcPr>
            <w:tcW w:w="1276" w:type="dxa"/>
          </w:tcPr>
          <w:p w14:paraId="00DE7DE5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79/178 (44.4%)</w:t>
            </w:r>
          </w:p>
        </w:tc>
        <w:tc>
          <w:tcPr>
            <w:tcW w:w="1275" w:type="dxa"/>
          </w:tcPr>
          <w:p w14:paraId="72907C6D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12/28 (46.4%)</w:t>
            </w:r>
          </w:p>
        </w:tc>
        <w:tc>
          <w:tcPr>
            <w:tcW w:w="1276" w:type="dxa"/>
          </w:tcPr>
          <w:p w14:paraId="2C025152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86/178 (48.3%)</w:t>
            </w:r>
          </w:p>
        </w:tc>
        <w:tc>
          <w:tcPr>
            <w:tcW w:w="1276" w:type="dxa"/>
          </w:tcPr>
          <w:p w14:paraId="6FF66F35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123/289(42.3%)</w:t>
            </w:r>
          </w:p>
        </w:tc>
        <w:tc>
          <w:tcPr>
            <w:tcW w:w="1366" w:type="dxa"/>
          </w:tcPr>
          <w:p w14:paraId="5C153BD7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22/63 (34.9%)</w:t>
            </w:r>
          </w:p>
        </w:tc>
      </w:tr>
      <w:tr w:rsidR="00FE072B" w:rsidRPr="00FE072B" w14:paraId="5BC012C8" w14:textId="77777777" w:rsidTr="00FE072B">
        <w:tc>
          <w:tcPr>
            <w:tcW w:w="1201" w:type="dxa"/>
          </w:tcPr>
          <w:p w14:paraId="28BB1C50" w14:textId="77777777" w:rsidR="00FE072B" w:rsidRPr="00FE072B" w:rsidRDefault="00FE072B" w:rsidP="0074015E">
            <w:pPr>
              <w:jc w:val="both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History of food allergy</w:t>
            </w:r>
          </w:p>
        </w:tc>
        <w:tc>
          <w:tcPr>
            <w:tcW w:w="1346" w:type="dxa"/>
          </w:tcPr>
          <w:p w14:paraId="2D39F292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132/323 (40.9%)</w:t>
            </w:r>
          </w:p>
        </w:tc>
        <w:tc>
          <w:tcPr>
            <w:tcW w:w="1276" w:type="dxa"/>
          </w:tcPr>
          <w:p w14:paraId="231B85C9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85/179 (47.5%)</w:t>
            </w:r>
          </w:p>
        </w:tc>
        <w:tc>
          <w:tcPr>
            <w:tcW w:w="1275" w:type="dxa"/>
          </w:tcPr>
          <w:p w14:paraId="71E83314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13/28 (46.4%)</w:t>
            </w:r>
          </w:p>
        </w:tc>
        <w:tc>
          <w:tcPr>
            <w:tcW w:w="1276" w:type="dxa"/>
          </w:tcPr>
          <w:p w14:paraId="73FC75E8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74/177 (41.8%)</w:t>
            </w:r>
          </w:p>
        </w:tc>
        <w:tc>
          <w:tcPr>
            <w:tcW w:w="1276" w:type="dxa"/>
          </w:tcPr>
          <w:p w14:paraId="374437FF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130/290 (44.8%)</w:t>
            </w:r>
          </w:p>
        </w:tc>
        <w:tc>
          <w:tcPr>
            <w:tcW w:w="1366" w:type="dxa"/>
          </w:tcPr>
          <w:p w14:paraId="4F250F12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28/63 (44.4%)</w:t>
            </w:r>
          </w:p>
        </w:tc>
      </w:tr>
      <w:tr w:rsidR="00FE072B" w:rsidRPr="00FE072B" w14:paraId="55925678" w14:textId="77777777" w:rsidTr="00FE072B">
        <w:tc>
          <w:tcPr>
            <w:tcW w:w="1201" w:type="dxa"/>
          </w:tcPr>
          <w:p w14:paraId="729D7C69" w14:textId="77777777" w:rsidR="00FE072B" w:rsidRPr="00FE072B" w:rsidRDefault="00FE072B" w:rsidP="0074015E">
            <w:pPr>
              <w:jc w:val="both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History of asthma</w:t>
            </w:r>
          </w:p>
        </w:tc>
        <w:tc>
          <w:tcPr>
            <w:tcW w:w="1346" w:type="dxa"/>
          </w:tcPr>
          <w:p w14:paraId="1EBACEB8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77/323 (23.8%)</w:t>
            </w:r>
          </w:p>
        </w:tc>
        <w:tc>
          <w:tcPr>
            <w:tcW w:w="1276" w:type="dxa"/>
          </w:tcPr>
          <w:p w14:paraId="7F992502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44/179 (24.6%)</w:t>
            </w:r>
          </w:p>
        </w:tc>
        <w:tc>
          <w:tcPr>
            <w:tcW w:w="1275" w:type="dxa"/>
          </w:tcPr>
          <w:p w14:paraId="312DB876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13/28 (46.4%)</w:t>
            </w:r>
          </w:p>
        </w:tc>
        <w:tc>
          <w:tcPr>
            <w:tcW w:w="1276" w:type="dxa"/>
          </w:tcPr>
          <w:p w14:paraId="420A4EB9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41/177 (23.2%)</w:t>
            </w:r>
          </w:p>
        </w:tc>
        <w:tc>
          <w:tcPr>
            <w:tcW w:w="1276" w:type="dxa"/>
          </w:tcPr>
          <w:p w14:paraId="207AF077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73/290 (25.2%)</w:t>
            </w:r>
          </w:p>
        </w:tc>
        <w:tc>
          <w:tcPr>
            <w:tcW w:w="1366" w:type="dxa"/>
          </w:tcPr>
          <w:p w14:paraId="2767D63B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20/63 (31.7%)</w:t>
            </w:r>
          </w:p>
        </w:tc>
      </w:tr>
      <w:tr w:rsidR="00FE072B" w:rsidRPr="00FE072B" w14:paraId="7CE2679A" w14:textId="77777777" w:rsidTr="00FE072B">
        <w:tc>
          <w:tcPr>
            <w:tcW w:w="1201" w:type="dxa"/>
          </w:tcPr>
          <w:p w14:paraId="6A0C2CE8" w14:textId="77777777" w:rsidR="00FE072B" w:rsidRPr="00FE072B" w:rsidRDefault="00FE072B" w:rsidP="0074015E">
            <w:pPr>
              <w:jc w:val="both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 xml:space="preserve">History of </w:t>
            </w:r>
            <w:proofErr w:type="spellStart"/>
            <w:r w:rsidRPr="00FE072B">
              <w:rPr>
                <w:rFonts w:cs="Times New Roman"/>
                <w:sz w:val="20"/>
                <w:szCs w:val="20"/>
              </w:rPr>
              <w:t>hayfever</w:t>
            </w:r>
            <w:proofErr w:type="spellEnd"/>
          </w:p>
        </w:tc>
        <w:tc>
          <w:tcPr>
            <w:tcW w:w="1346" w:type="dxa"/>
          </w:tcPr>
          <w:p w14:paraId="7023AF06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96/322 (29.8%)</w:t>
            </w:r>
          </w:p>
        </w:tc>
        <w:tc>
          <w:tcPr>
            <w:tcW w:w="1276" w:type="dxa"/>
          </w:tcPr>
          <w:p w14:paraId="23FE64DB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58/179 (32.4%)</w:t>
            </w:r>
          </w:p>
        </w:tc>
        <w:tc>
          <w:tcPr>
            <w:tcW w:w="1275" w:type="dxa"/>
          </w:tcPr>
          <w:p w14:paraId="716FD9C8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11/28 (39.2%)</w:t>
            </w:r>
          </w:p>
        </w:tc>
        <w:tc>
          <w:tcPr>
            <w:tcW w:w="1276" w:type="dxa"/>
          </w:tcPr>
          <w:p w14:paraId="6B02BEA5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47/176 (26.7%)</w:t>
            </w:r>
          </w:p>
        </w:tc>
        <w:tc>
          <w:tcPr>
            <w:tcW w:w="1276" w:type="dxa"/>
          </w:tcPr>
          <w:p w14:paraId="6358BCD8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88/290 (30.3%)</w:t>
            </w:r>
          </w:p>
        </w:tc>
        <w:tc>
          <w:tcPr>
            <w:tcW w:w="1366" w:type="dxa"/>
          </w:tcPr>
          <w:p w14:paraId="5E51A2E1" w14:textId="77777777" w:rsidR="00FE072B" w:rsidRPr="00FE072B" w:rsidRDefault="00FE072B" w:rsidP="0074015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E072B">
              <w:rPr>
                <w:rFonts w:cs="Times New Roman"/>
                <w:sz w:val="20"/>
                <w:szCs w:val="20"/>
              </w:rPr>
              <w:t>20/63 (47.6%)</w:t>
            </w:r>
          </w:p>
        </w:tc>
      </w:tr>
    </w:tbl>
    <w:p w14:paraId="16D73A9E" w14:textId="370611D6" w:rsidR="00FE072B" w:rsidRDefault="00FE072B" w:rsidP="00FE072B">
      <w:pPr>
        <w:pStyle w:val="HTMLPreformatted"/>
        <w:wordWrap w:val="0"/>
        <w:textAlignment w:val="baseline"/>
      </w:pPr>
      <w:r w:rsidRPr="00FE072B"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*</w:t>
      </w:r>
      <w:r w:rsidRPr="00FE072B">
        <w:rPr>
          <w:rFonts w:ascii="Times New Roman" w:hAnsi="Times New Roman" w:cs="Times New Roman"/>
          <w:color w:val="000000"/>
          <w:sz w:val="24"/>
          <w:szCs w:val="24"/>
          <w:lang w:val="en-GB"/>
        </w:rPr>
        <w:t>Eczema Area and Severity Index</w:t>
      </w:r>
    </w:p>
    <w:p w14:paraId="7AB2B32E" w14:textId="3490D8E2" w:rsidR="00FE072B" w:rsidRDefault="00FE072B" w:rsidP="00FE072B"/>
    <w:p w14:paraId="33DD229B" w14:textId="4585593E" w:rsidR="00FE072B" w:rsidRDefault="00FE072B" w:rsidP="00FE072B"/>
    <w:p w14:paraId="27BD7D8F" w14:textId="2B86AF37" w:rsidR="00FE072B" w:rsidRDefault="00FE072B" w:rsidP="00FE072B"/>
    <w:p w14:paraId="68FCA9C5" w14:textId="77777777" w:rsidR="00FE072B" w:rsidRDefault="00FE072B" w:rsidP="00FE072B"/>
    <w:p w14:paraId="29C31177" w14:textId="77777777" w:rsidR="00FE072B" w:rsidRDefault="00FE072B" w:rsidP="00680184">
      <w:pPr>
        <w:spacing w:line="480" w:lineRule="auto"/>
        <w:jc w:val="both"/>
        <w:rPr>
          <w:b/>
          <w:bCs/>
        </w:rPr>
      </w:pPr>
    </w:p>
    <w:p w14:paraId="67F23FD7" w14:textId="0B985B9A" w:rsidR="00B37AB4" w:rsidRDefault="00B37AB4" w:rsidP="00B37AB4">
      <w:pPr>
        <w:spacing w:line="480" w:lineRule="auto"/>
        <w:jc w:val="both"/>
      </w:pPr>
      <w:r w:rsidRPr="00573905">
        <w:rPr>
          <w:b/>
          <w:bCs/>
        </w:rPr>
        <w:lastRenderedPageBreak/>
        <w:t>Table S</w:t>
      </w:r>
      <w:r w:rsidR="00AB58B0">
        <w:rPr>
          <w:b/>
          <w:bCs/>
        </w:rPr>
        <w:t>2.</w:t>
      </w:r>
      <w:r>
        <w:rPr>
          <w:b/>
          <w:bCs/>
        </w:rPr>
        <w:t xml:space="preserve"> </w:t>
      </w:r>
      <w:r>
        <w:t>Prediction of filaggrin gene loss-of-function mutation (homozygous, compound heterozygous, or heterozygous) for both thenar eminence and palmar images using hyperlinearity scores and age with logistic regression and linear support vector machine classification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38"/>
        <w:gridCol w:w="983"/>
        <w:gridCol w:w="1072"/>
        <w:gridCol w:w="1083"/>
        <w:gridCol w:w="1003"/>
        <w:gridCol w:w="1009"/>
        <w:gridCol w:w="1072"/>
        <w:gridCol w:w="1083"/>
        <w:gridCol w:w="1002"/>
      </w:tblGrid>
      <w:tr w:rsidR="00CA0666" w:rsidRPr="00CA0666" w14:paraId="77EC3847" w14:textId="77777777" w:rsidTr="00CA0666">
        <w:trPr>
          <w:trHeight w:val="340"/>
        </w:trPr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D0BE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Classifier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1007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Thenar images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B76E0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Palmar images</w:t>
            </w:r>
          </w:p>
        </w:tc>
      </w:tr>
      <w:tr w:rsidR="00CA0666" w:rsidRPr="00CA0666" w14:paraId="045FF403" w14:textId="77777777" w:rsidTr="00CA0666">
        <w:trPr>
          <w:trHeight w:val="580"/>
        </w:trPr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7F1E1" w14:textId="77777777" w:rsidR="00CA0666" w:rsidRPr="00CA0666" w:rsidRDefault="00CA0666" w:rsidP="00CA066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728C4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3D3D9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143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B101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43BB6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7F4C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759B4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917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</w:tr>
      <w:tr w:rsidR="00CA0666" w:rsidRPr="00CA0666" w14:paraId="02DF2415" w14:textId="77777777" w:rsidTr="00CA0666">
        <w:trPr>
          <w:trHeight w:val="58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0C398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Logistic regression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9A6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65.6% (±6.4)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B2DF6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57.7% (±10.5)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F357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70.9% (±10.3)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232A7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76.9% (±4.5)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DFB25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62.7% (±7.8)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8A969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51.5% (±10.1)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FB6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70.3% (±9.8)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5A67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62.8% (±8.8)</w:t>
            </w:r>
          </w:p>
        </w:tc>
      </w:tr>
      <w:tr w:rsidR="00CA0666" w:rsidRPr="00CA0666" w14:paraId="5ABCF0E4" w14:textId="77777777" w:rsidTr="00CA0666">
        <w:trPr>
          <w:trHeight w:val="114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E3BD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Support vector machine (linear)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8A6A7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74.2% (±3.1)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E08B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52.0% (±6.7)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24413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89.3% (±7.5)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A920D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70.3% (±6.7)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1D98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70.2% (±4.8)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41EC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47.7% (±4.5)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EDF9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85.5% (±7.4)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37499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74.5% (±6.2)</w:t>
            </w:r>
          </w:p>
        </w:tc>
      </w:tr>
    </w:tbl>
    <w:p w14:paraId="3C83FE78" w14:textId="77777777" w:rsidR="00B37AB4" w:rsidRDefault="00B37AB4" w:rsidP="00B37AB4">
      <w:pPr>
        <w:spacing w:line="480" w:lineRule="auto"/>
        <w:jc w:val="both"/>
      </w:pPr>
      <w:r>
        <w:t>Presented as percentage (standard deviation)</w:t>
      </w:r>
    </w:p>
    <w:p w14:paraId="56BC5237" w14:textId="33ECDC7C" w:rsidR="004808DE" w:rsidRDefault="004808DE"/>
    <w:p w14:paraId="62E03B59" w14:textId="77777777" w:rsidR="00FE26BE" w:rsidRDefault="00FE26BE" w:rsidP="00FE26BE">
      <w:pPr>
        <w:spacing w:line="480" w:lineRule="auto"/>
        <w:jc w:val="both"/>
      </w:pPr>
      <w:r>
        <w:t>Average effect size in logistic regression (thenar images): hyperlinearity score (0.00012) age (-0.081)</w:t>
      </w:r>
    </w:p>
    <w:p w14:paraId="4F51B367" w14:textId="77777777" w:rsidR="00FE26BE" w:rsidRDefault="00FE26BE" w:rsidP="00FE26BE">
      <w:pPr>
        <w:spacing w:line="480" w:lineRule="auto"/>
        <w:jc w:val="both"/>
      </w:pPr>
      <w:r w:rsidRPr="00984E67">
        <w:t>Average effect size in logistic regression (palmar images): hyperlinearity score (</w:t>
      </w:r>
      <w:r w:rsidRPr="00984E67">
        <w:rPr>
          <w:lang w:val="en-BR"/>
        </w:rPr>
        <w:t>0.00007</w:t>
      </w:r>
      <w:r w:rsidRPr="00984E67">
        <w:t>5) age (-0.067)</w:t>
      </w:r>
    </w:p>
    <w:p w14:paraId="20D33D37" w14:textId="77777777" w:rsidR="00FE26BE" w:rsidRDefault="00FE26BE"/>
    <w:p w14:paraId="241B21EA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12EADBD5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3F6CFF64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1BFC1619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612184E3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6E422738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208EDEC7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78E24E67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057F3012" w14:textId="428012E1" w:rsidR="0013552F" w:rsidRPr="0013552F" w:rsidRDefault="00CA0666" w:rsidP="00CA0666">
      <w:pPr>
        <w:spacing w:line="480" w:lineRule="auto"/>
        <w:jc w:val="both"/>
      </w:pPr>
      <w:r w:rsidRPr="00573905">
        <w:rPr>
          <w:b/>
          <w:bCs/>
        </w:rPr>
        <w:lastRenderedPageBreak/>
        <w:t>Table S</w:t>
      </w:r>
      <w:r w:rsidR="00AB58B0">
        <w:rPr>
          <w:b/>
          <w:bCs/>
        </w:rPr>
        <w:t>3</w:t>
      </w:r>
      <w:r>
        <w:rPr>
          <w:b/>
          <w:bCs/>
        </w:rPr>
        <w:t xml:space="preserve">. </w:t>
      </w:r>
      <w:r>
        <w:t>Prediction of filaggrin gene loss-of-function mutation (homozygous, compound heterozygous, or heterozygous) for both thenar eminence and palmar images with logistic regression and linear support vector machine classification</w:t>
      </w:r>
      <w:r w:rsidRPr="00CA0666">
        <w:t xml:space="preserve"> </w:t>
      </w:r>
      <w:r>
        <w:t xml:space="preserve">using expanded variable set (hyperlinearity score, age, sex, </w:t>
      </w:r>
      <w:r w:rsidR="0013552F" w:rsidRPr="0013552F">
        <w:rPr>
          <w:lang w:val="en-BR"/>
        </w:rPr>
        <w:t xml:space="preserve">Eczema </w:t>
      </w:r>
      <w:proofErr w:type="gramStart"/>
      <w:r w:rsidR="0013552F" w:rsidRPr="0013552F">
        <w:rPr>
          <w:lang w:val="en-BR"/>
        </w:rPr>
        <w:t>Area</w:t>
      </w:r>
      <w:proofErr w:type="gramEnd"/>
      <w:r w:rsidR="0013552F" w:rsidRPr="0013552F">
        <w:rPr>
          <w:lang w:val="en-BR"/>
        </w:rPr>
        <w:t xml:space="preserve"> and Severity Index</w:t>
      </w:r>
      <w:r w:rsidR="0013552F">
        <w:t xml:space="preserve"> (EASI), presence of asthma, presence of </w:t>
      </w:r>
      <w:proofErr w:type="spellStart"/>
      <w:r w:rsidR="0013552F">
        <w:t>hayfever</w:t>
      </w:r>
      <w:proofErr w:type="spellEnd"/>
      <w:r w:rsidR="0013552F">
        <w:t>, and presence of food allergy)</w:t>
      </w:r>
    </w:p>
    <w:p w14:paraId="41A052B0" w14:textId="3E911383" w:rsidR="00CA0666" w:rsidRDefault="00CA0666"/>
    <w:p w14:paraId="5EA65FCE" w14:textId="2FB64C29" w:rsidR="00CA0666" w:rsidRDefault="00CA0666"/>
    <w:tbl>
      <w:tblPr>
        <w:tblW w:w="5000" w:type="pct"/>
        <w:tblLook w:val="04A0" w:firstRow="1" w:lastRow="0" w:firstColumn="1" w:lastColumn="0" w:noHBand="0" w:noVBand="1"/>
      </w:tblPr>
      <w:tblGrid>
        <w:gridCol w:w="1038"/>
        <w:gridCol w:w="983"/>
        <w:gridCol w:w="1072"/>
        <w:gridCol w:w="1083"/>
        <w:gridCol w:w="1001"/>
        <w:gridCol w:w="1008"/>
        <w:gridCol w:w="1072"/>
        <w:gridCol w:w="1083"/>
        <w:gridCol w:w="1000"/>
      </w:tblGrid>
      <w:tr w:rsidR="00CA0666" w:rsidRPr="00CA0666" w14:paraId="0682B673" w14:textId="77777777" w:rsidTr="0013552F">
        <w:trPr>
          <w:trHeight w:val="340"/>
        </w:trPr>
        <w:tc>
          <w:tcPr>
            <w:tcW w:w="5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E4AC6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Classifier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7555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Thenar images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1A20D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Palmar images</w:t>
            </w:r>
          </w:p>
        </w:tc>
      </w:tr>
      <w:tr w:rsidR="00CA0666" w:rsidRPr="00CA0666" w14:paraId="6A7C3791" w14:textId="77777777" w:rsidTr="0013552F">
        <w:trPr>
          <w:trHeight w:val="580"/>
        </w:trPr>
        <w:tc>
          <w:tcPr>
            <w:tcW w:w="5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E18A4" w14:textId="77777777" w:rsidR="00CA0666" w:rsidRPr="00CA0666" w:rsidRDefault="00CA0666" w:rsidP="00CA066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434A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3D14A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0E4B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227DB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FAFF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E3B12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CFF2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4437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</w:tr>
      <w:tr w:rsidR="00CA0666" w:rsidRPr="00CA0666" w14:paraId="799DA370" w14:textId="77777777" w:rsidTr="0013552F">
        <w:trPr>
          <w:trHeight w:val="58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C96A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Logistic regression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BA056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72.0% (±7.8)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FB2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57.2% (±11.6)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EC7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81.0% (±10.2)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38199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74.1% (±10.9)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F7645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64.6% (±9.6)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8E49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46.2% (±12.1)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59505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76.3% (±8.7)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2D4E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63.8% (±12.5)</w:t>
            </w:r>
          </w:p>
        </w:tc>
      </w:tr>
      <w:tr w:rsidR="00CA0666" w:rsidRPr="00CA0666" w14:paraId="23FF9B62" w14:textId="77777777" w:rsidTr="0013552F">
        <w:trPr>
          <w:trHeight w:val="114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3E883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Support vector machine (linear)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C7EC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74.8% (±6.3)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19CD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52.7% (±11.9)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C05AE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88.8% (±6.1)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2C8FD" w14:textId="57430DDC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</w:t>
            </w:r>
            <w:r w:rsidR="003B25C0">
              <w:rPr>
                <w:rFonts w:eastAsia="Times New Roman" w:cs="Times New Roman"/>
                <w:color w:val="000000"/>
                <w:sz w:val="20"/>
                <w:szCs w:val="20"/>
                <w:lang w:eastAsia="zh-CN"/>
              </w:rPr>
              <w:t>6</w:t>
            </w: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.</w:t>
            </w:r>
            <w:r w:rsidR="003B25C0">
              <w:rPr>
                <w:rFonts w:eastAsia="Times New Roman" w:cs="Times New Roman"/>
                <w:color w:val="000000"/>
                <w:sz w:val="20"/>
                <w:szCs w:val="20"/>
                <w:lang w:eastAsia="zh-CN"/>
              </w:rPr>
              <w:t>8</w:t>
            </w: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% (±</w:t>
            </w:r>
            <w:r w:rsidR="003B25C0">
              <w:rPr>
                <w:rFonts w:eastAsia="Times New Roman" w:cs="Times New Roman"/>
                <w:color w:val="000000"/>
                <w:sz w:val="20"/>
                <w:szCs w:val="20"/>
                <w:lang w:eastAsia="zh-CN"/>
              </w:rPr>
              <w:t>9</w:t>
            </w: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.</w:t>
            </w:r>
            <w:r w:rsidR="003B25C0">
              <w:rPr>
                <w:rFonts w:eastAsia="Times New Roman" w:cs="Times New Roman"/>
                <w:color w:val="000000"/>
                <w:sz w:val="20"/>
                <w:szCs w:val="20"/>
                <w:lang w:eastAsia="zh-CN"/>
              </w:rPr>
              <w:t>6</w:t>
            </w: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57784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70.5% (±9.2)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6C21E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50.4% (±16.1)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1D775" w14:textId="6A497669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83.</w:t>
            </w:r>
            <w:r w:rsidR="003B25C0">
              <w:rPr>
                <w:rFonts w:eastAsia="Times New Roman" w:cs="Times New Roman"/>
                <w:color w:val="000000"/>
                <w:sz w:val="20"/>
                <w:szCs w:val="20"/>
                <w:lang w:eastAsia="zh-CN"/>
              </w:rPr>
              <w:t>4</w:t>
            </w: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% (±8.1)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3862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72.6% (±11.1)</w:t>
            </w:r>
          </w:p>
        </w:tc>
      </w:tr>
    </w:tbl>
    <w:p w14:paraId="7F949110" w14:textId="1C3A5FCC" w:rsidR="00CA0666" w:rsidRDefault="00CA0666"/>
    <w:p w14:paraId="0D74E19A" w14:textId="77777777" w:rsidR="00B236DA" w:rsidRDefault="00B236DA" w:rsidP="00B236DA">
      <w:pPr>
        <w:spacing w:line="480" w:lineRule="auto"/>
        <w:jc w:val="both"/>
      </w:pPr>
      <w:r>
        <w:t>Presented as percentage (standard deviation)</w:t>
      </w:r>
    </w:p>
    <w:p w14:paraId="0679E5E3" w14:textId="25FA2441" w:rsidR="00B236DA" w:rsidRDefault="00B236DA"/>
    <w:p w14:paraId="7C7492C0" w14:textId="4078C265" w:rsidR="00A8477D" w:rsidRDefault="00971BF9" w:rsidP="00971BF9">
      <w:pPr>
        <w:spacing w:line="480" w:lineRule="auto"/>
        <w:jc w:val="both"/>
      </w:pPr>
      <w:r>
        <w:t>Average effect size in logistic regression (thenar images): hyperlinearity score (0.0001</w:t>
      </w:r>
      <w:r>
        <w:t>8</w:t>
      </w:r>
      <w:r>
        <w:t>) age (-0.0</w:t>
      </w:r>
      <w:r>
        <w:t>65</w:t>
      </w:r>
      <w:r>
        <w:t>)</w:t>
      </w:r>
      <w:r>
        <w:t xml:space="preserve">, sex (-0.62), EASI (-0.0017), history of asthma (0.24), history of food allergy (-0.12), </w:t>
      </w:r>
    </w:p>
    <w:p w14:paraId="373F69CD" w14:textId="097FDE84" w:rsidR="00971BF9" w:rsidRDefault="00971BF9" w:rsidP="00971BF9">
      <w:pPr>
        <w:spacing w:line="480" w:lineRule="auto"/>
        <w:jc w:val="both"/>
      </w:pPr>
      <w:r w:rsidRPr="00984E67">
        <w:t xml:space="preserve">Average effect size in logistic regression (palmar images): </w:t>
      </w:r>
      <w:r>
        <w:t>hyperlinearity score (0.</w:t>
      </w:r>
      <w:r w:rsidR="00FE26BE" w:rsidRPr="00FE26BE">
        <w:t xml:space="preserve"> </w:t>
      </w:r>
      <w:r w:rsidR="00FE26BE" w:rsidRPr="00FE26BE">
        <w:t>0.000074</w:t>
      </w:r>
      <w:r>
        <w:t>) age (-0.06</w:t>
      </w:r>
      <w:r w:rsidR="00FE26BE">
        <w:t>1</w:t>
      </w:r>
      <w:r>
        <w:t>), sex (-0.</w:t>
      </w:r>
      <w:r w:rsidR="00FE26BE">
        <w:t>28</w:t>
      </w:r>
      <w:r>
        <w:t>), EASI (0.00</w:t>
      </w:r>
      <w:r w:rsidR="00FE26BE">
        <w:t>35</w:t>
      </w:r>
      <w:r>
        <w:t>), history of asthma (0.</w:t>
      </w:r>
      <w:r w:rsidR="00FE26BE">
        <w:t>14</w:t>
      </w:r>
      <w:r>
        <w:t>), history of food allergy (-0.</w:t>
      </w:r>
      <w:r w:rsidR="00FE26BE">
        <w:t>0</w:t>
      </w:r>
      <w:r>
        <w:t>2</w:t>
      </w:r>
      <w:r w:rsidR="00FE26BE">
        <w:t>7</w:t>
      </w:r>
      <w:r>
        <w:t xml:space="preserve">), history of </w:t>
      </w:r>
      <w:proofErr w:type="spellStart"/>
      <w:r>
        <w:t>hayfever</w:t>
      </w:r>
      <w:proofErr w:type="spellEnd"/>
      <w:r>
        <w:t xml:space="preserve"> (0.0</w:t>
      </w:r>
      <w:r w:rsidR="00FE26BE">
        <w:t>54</w:t>
      </w:r>
      <w:r>
        <w:t>)</w:t>
      </w:r>
    </w:p>
    <w:p w14:paraId="084D9235" w14:textId="77777777" w:rsidR="00971BF9" w:rsidRDefault="00971BF9"/>
    <w:p w14:paraId="729DC369" w14:textId="77777777" w:rsidR="00971BF9" w:rsidRPr="00FE26BE" w:rsidRDefault="00971BF9"/>
    <w:p w14:paraId="6481FD6D" w14:textId="77777777" w:rsidR="00971BF9" w:rsidRDefault="00971BF9"/>
    <w:p w14:paraId="2BA90EC1" w14:textId="77777777" w:rsidR="0069166F" w:rsidRDefault="0069166F" w:rsidP="0069166F">
      <w:pPr>
        <w:spacing w:line="480" w:lineRule="auto"/>
        <w:jc w:val="both"/>
        <w:rPr>
          <w:b/>
          <w:bCs/>
        </w:rPr>
      </w:pPr>
    </w:p>
    <w:sectPr w:rsidR="00691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13552F"/>
    <w:rsid w:val="002665B7"/>
    <w:rsid w:val="003B25C0"/>
    <w:rsid w:val="00441E6D"/>
    <w:rsid w:val="004808DE"/>
    <w:rsid w:val="00480AF6"/>
    <w:rsid w:val="005F6776"/>
    <w:rsid w:val="00680184"/>
    <w:rsid w:val="0069166F"/>
    <w:rsid w:val="00971BF9"/>
    <w:rsid w:val="00984E67"/>
    <w:rsid w:val="00A8477D"/>
    <w:rsid w:val="00AB58B0"/>
    <w:rsid w:val="00B00BA0"/>
    <w:rsid w:val="00B236DA"/>
    <w:rsid w:val="00B37AB4"/>
    <w:rsid w:val="00BA2413"/>
    <w:rsid w:val="00CA0666"/>
    <w:rsid w:val="00CC304D"/>
    <w:rsid w:val="00D879AB"/>
    <w:rsid w:val="00DF5224"/>
    <w:rsid w:val="00E6385E"/>
    <w:rsid w:val="00E82F1C"/>
    <w:rsid w:val="00FE072B"/>
    <w:rsid w:val="00FE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F9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39"/>
    <w:rsid w:val="00B37AB4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9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BR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6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2022-09-06T19:42:00Z</dcterms:created>
  <dcterms:modified xsi:type="dcterms:W3CDTF">2022-09-06T19:42:00Z</dcterms:modified>
</cp:coreProperties>
</file>