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2590" w14:textId="2A9E4E88" w:rsidR="00680184" w:rsidRDefault="00680184" w:rsidP="00680184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67F23FD7" w14:textId="77777777" w:rsidR="00B37AB4" w:rsidRDefault="00B37AB4" w:rsidP="00B37AB4">
      <w:pPr>
        <w:spacing w:line="480" w:lineRule="auto"/>
        <w:jc w:val="both"/>
      </w:pPr>
      <w:r w:rsidRPr="00573905">
        <w:rPr>
          <w:b/>
          <w:bCs/>
        </w:rPr>
        <w:t>Table S</w:t>
      </w:r>
      <w:r>
        <w:rPr>
          <w:b/>
          <w:bCs/>
        </w:rPr>
        <w:t xml:space="preserve">1. </w:t>
      </w:r>
      <w:r>
        <w:t xml:space="preserve">Prediction of filaggrin gene loss-of-function mutation (homozygous, compound heterozygous, or heterozygous) for both thenar eminence and palmar images using </w:t>
      </w:r>
      <w:proofErr w:type="spellStart"/>
      <w:r>
        <w:t>hyperlinearity</w:t>
      </w:r>
      <w:proofErr w:type="spellEnd"/>
      <w:r>
        <w:t xml:space="preserve"> scores and age with logistic regression and linear support vector machine 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1183"/>
        <w:gridCol w:w="1279"/>
        <w:gridCol w:w="1216"/>
        <w:gridCol w:w="1153"/>
        <w:gridCol w:w="1170"/>
        <w:gridCol w:w="1134"/>
      </w:tblGrid>
      <w:tr w:rsidR="00B37AB4" w:rsidRPr="00DF626D" w14:paraId="41523817" w14:textId="77777777" w:rsidTr="0082443D">
        <w:tc>
          <w:tcPr>
            <w:tcW w:w="0" w:type="auto"/>
            <w:vMerge w:val="restart"/>
          </w:tcPr>
          <w:p w14:paraId="538819CF" w14:textId="77777777" w:rsidR="00B37AB4" w:rsidRPr="002E4D94" w:rsidRDefault="00B37AB4" w:rsidP="0082443D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2E4D94">
              <w:rPr>
                <w:sz w:val="20"/>
                <w:szCs w:val="20"/>
              </w:rPr>
              <w:t>Classifier</w:t>
            </w:r>
          </w:p>
        </w:tc>
        <w:tc>
          <w:tcPr>
            <w:tcW w:w="3459" w:type="dxa"/>
            <w:gridSpan w:val="3"/>
          </w:tcPr>
          <w:p w14:paraId="2752F9F6" w14:textId="77777777" w:rsidR="00B37AB4" w:rsidRPr="002E4D94" w:rsidRDefault="00B37AB4" w:rsidP="0082443D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2E4D94">
              <w:rPr>
                <w:sz w:val="20"/>
                <w:szCs w:val="20"/>
              </w:rPr>
              <w:t>Thenar images</w:t>
            </w:r>
          </w:p>
        </w:tc>
        <w:tc>
          <w:tcPr>
            <w:tcW w:w="3457" w:type="dxa"/>
            <w:gridSpan w:val="3"/>
          </w:tcPr>
          <w:p w14:paraId="354C0B17" w14:textId="77777777" w:rsidR="00B37AB4" w:rsidRPr="002E4D94" w:rsidRDefault="00B37AB4" w:rsidP="0082443D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2E4D94">
              <w:rPr>
                <w:sz w:val="20"/>
                <w:szCs w:val="20"/>
              </w:rPr>
              <w:t>Palmar images</w:t>
            </w:r>
          </w:p>
        </w:tc>
      </w:tr>
      <w:tr w:rsidR="00B37AB4" w:rsidRPr="00DF626D" w14:paraId="601D182A" w14:textId="77777777" w:rsidTr="0082443D">
        <w:tc>
          <w:tcPr>
            <w:tcW w:w="0" w:type="auto"/>
            <w:vMerge/>
          </w:tcPr>
          <w:p w14:paraId="0A3E8FD1" w14:textId="77777777" w:rsidR="00B37AB4" w:rsidRPr="002E4D94" w:rsidRDefault="00B37AB4" w:rsidP="0082443D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200704" w14:textId="77777777" w:rsidR="00B37AB4" w:rsidRPr="002E4D94" w:rsidRDefault="00B37AB4" w:rsidP="0082443D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2E4D94">
              <w:rPr>
                <w:sz w:val="20"/>
                <w:szCs w:val="20"/>
              </w:rPr>
              <w:t>Accuracy</w:t>
            </w:r>
          </w:p>
        </w:tc>
        <w:tc>
          <w:tcPr>
            <w:tcW w:w="0" w:type="auto"/>
          </w:tcPr>
          <w:p w14:paraId="70B9DFDE" w14:textId="77777777" w:rsidR="00B37AB4" w:rsidRPr="002E4D94" w:rsidRDefault="00B37AB4" w:rsidP="0082443D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2E4D94">
              <w:rPr>
                <w:sz w:val="20"/>
                <w:szCs w:val="20"/>
              </w:rPr>
              <w:t>Sensitivity</w:t>
            </w:r>
          </w:p>
        </w:tc>
        <w:tc>
          <w:tcPr>
            <w:tcW w:w="1216" w:type="dxa"/>
          </w:tcPr>
          <w:p w14:paraId="25CE496D" w14:textId="77777777" w:rsidR="00B37AB4" w:rsidRPr="002E4D94" w:rsidRDefault="00B37AB4" w:rsidP="0082443D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2E4D94">
              <w:rPr>
                <w:sz w:val="20"/>
                <w:szCs w:val="20"/>
              </w:rPr>
              <w:t>Specificity</w:t>
            </w:r>
          </w:p>
        </w:tc>
        <w:tc>
          <w:tcPr>
            <w:tcW w:w="1153" w:type="dxa"/>
          </w:tcPr>
          <w:p w14:paraId="75E3A526" w14:textId="77777777" w:rsidR="00B37AB4" w:rsidRPr="002E4D94" w:rsidRDefault="00B37AB4" w:rsidP="0082443D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2E4D94">
              <w:rPr>
                <w:sz w:val="20"/>
                <w:szCs w:val="20"/>
              </w:rPr>
              <w:t>Accuracy</w:t>
            </w:r>
          </w:p>
        </w:tc>
        <w:tc>
          <w:tcPr>
            <w:tcW w:w="1170" w:type="dxa"/>
          </w:tcPr>
          <w:p w14:paraId="394398BE" w14:textId="77777777" w:rsidR="00B37AB4" w:rsidRPr="002E4D94" w:rsidRDefault="00B37AB4" w:rsidP="0082443D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2E4D94">
              <w:rPr>
                <w:sz w:val="20"/>
                <w:szCs w:val="20"/>
              </w:rPr>
              <w:t>Sensitivity</w:t>
            </w:r>
          </w:p>
        </w:tc>
        <w:tc>
          <w:tcPr>
            <w:tcW w:w="1134" w:type="dxa"/>
          </w:tcPr>
          <w:p w14:paraId="71478743" w14:textId="77777777" w:rsidR="00B37AB4" w:rsidRPr="002E4D94" w:rsidRDefault="00B37AB4" w:rsidP="0082443D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2E4D94">
              <w:rPr>
                <w:sz w:val="20"/>
                <w:szCs w:val="20"/>
              </w:rPr>
              <w:t>Specificity</w:t>
            </w:r>
          </w:p>
        </w:tc>
      </w:tr>
      <w:tr w:rsidR="00B37AB4" w:rsidRPr="00DF626D" w14:paraId="27A85D9D" w14:textId="77777777" w:rsidTr="0082443D">
        <w:tc>
          <w:tcPr>
            <w:tcW w:w="0" w:type="auto"/>
          </w:tcPr>
          <w:p w14:paraId="5734E2CA" w14:textId="77777777" w:rsidR="00B37AB4" w:rsidRPr="002E4D94" w:rsidRDefault="00B37AB4" w:rsidP="0082443D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2E4D94">
              <w:rPr>
                <w:sz w:val="20"/>
                <w:szCs w:val="20"/>
              </w:rPr>
              <w:t>Logistic regression</w:t>
            </w:r>
          </w:p>
        </w:tc>
        <w:tc>
          <w:tcPr>
            <w:tcW w:w="0" w:type="auto"/>
          </w:tcPr>
          <w:p w14:paraId="22ED4FED" w14:textId="77777777" w:rsidR="00B37AB4" w:rsidRPr="002E4D94" w:rsidRDefault="00B37AB4" w:rsidP="0082443D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2E4D94">
              <w:rPr>
                <w:sz w:val="20"/>
                <w:szCs w:val="20"/>
              </w:rPr>
              <w:t>67.9% (±8.5)</w:t>
            </w:r>
          </w:p>
        </w:tc>
        <w:tc>
          <w:tcPr>
            <w:tcW w:w="0" w:type="auto"/>
          </w:tcPr>
          <w:p w14:paraId="05200A32" w14:textId="77777777" w:rsidR="00B37AB4" w:rsidRPr="002E4D94" w:rsidRDefault="00B37AB4" w:rsidP="0082443D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2E4D94">
              <w:rPr>
                <w:sz w:val="20"/>
                <w:szCs w:val="20"/>
              </w:rPr>
              <w:t>60.8% (±10.5)</w:t>
            </w:r>
          </w:p>
        </w:tc>
        <w:tc>
          <w:tcPr>
            <w:tcW w:w="1216" w:type="dxa"/>
          </w:tcPr>
          <w:p w14:paraId="3933E480" w14:textId="77777777" w:rsidR="00B37AB4" w:rsidRPr="002E4D94" w:rsidRDefault="00B37AB4" w:rsidP="0082443D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2E4D94">
              <w:rPr>
                <w:sz w:val="20"/>
                <w:szCs w:val="20"/>
              </w:rPr>
              <w:t>73.2% (±13.6)</w:t>
            </w:r>
          </w:p>
        </w:tc>
        <w:tc>
          <w:tcPr>
            <w:tcW w:w="1153" w:type="dxa"/>
          </w:tcPr>
          <w:p w14:paraId="16D1CF28" w14:textId="77777777" w:rsidR="00B37AB4" w:rsidRPr="002E4D94" w:rsidRDefault="00B37AB4" w:rsidP="0082443D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2E4D94">
              <w:rPr>
                <w:sz w:val="20"/>
                <w:szCs w:val="20"/>
              </w:rPr>
              <w:t>64.2% (±6.6)</w:t>
            </w:r>
          </w:p>
        </w:tc>
        <w:tc>
          <w:tcPr>
            <w:tcW w:w="1170" w:type="dxa"/>
          </w:tcPr>
          <w:p w14:paraId="0A04DE0B" w14:textId="77777777" w:rsidR="00B37AB4" w:rsidRPr="002E4D94" w:rsidRDefault="00B37AB4" w:rsidP="0082443D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2E4D94">
              <w:rPr>
                <w:sz w:val="20"/>
                <w:szCs w:val="20"/>
              </w:rPr>
              <w:t>48.1% (±8.3)</w:t>
            </w:r>
          </w:p>
        </w:tc>
        <w:tc>
          <w:tcPr>
            <w:tcW w:w="1134" w:type="dxa"/>
          </w:tcPr>
          <w:p w14:paraId="77C6FB6C" w14:textId="77777777" w:rsidR="00B37AB4" w:rsidRPr="002E4D94" w:rsidRDefault="00B37AB4" w:rsidP="0082443D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2E4D94">
              <w:rPr>
                <w:sz w:val="20"/>
                <w:szCs w:val="20"/>
              </w:rPr>
              <w:t>74.4% (±12.3)</w:t>
            </w:r>
          </w:p>
        </w:tc>
      </w:tr>
      <w:tr w:rsidR="00B37AB4" w:rsidRPr="00DF626D" w14:paraId="66698B0F" w14:textId="77777777" w:rsidTr="0082443D">
        <w:tc>
          <w:tcPr>
            <w:tcW w:w="0" w:type="auto"/>
          </w:tcPr>
          <w:p w14:paraId="011C21C9" w14:textId="77777777" w:rsidR="00B37AB4" w:rsidRPr="002E4D94" w:rsidRDefault="00B37AB4" w:rsidP="0082443D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2E4D94">
              <w:rPr>
                <w:sz w:val="20"/>
                <w:szCs w:val="20"/>
              </w:rPr>
              <w:t>Support vector machine (linear)</w:t>
            </w:r>
          </w:p>
        </w:tc>
        <w:tc>
          <w:tcPr>
            <w:tcW w:w="0" w:type="auto"/>
          </w:tcPr>
          <w:p w14:paraId="2F48D604" w14:textId="77777777" w:rsidR="00B37AB4" w:rsidRPr="002E4D94" w:rsidRDefault="00B37AB4" w:rsidP="0082443D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2E4D94">
              <w:rPr>
                <w:sz w:val="20"/>
                <w:szCs w:val="20"/>
              </w:rPr>
              <w:t>73.0% (±5.4)</w:t>
            </w:r>
          </w:p>
        </w:tc>
        <w:tc>
          <w:tcPr>
            <w:tcW w:w="0" w:type="auto"/>
          </w:tcPr>
          <w:p w14:paraId="18472190" w14:textId="77777777" w:rsidR="00B37AB4" w:rsidRPr="002E4D94" w:rsidRDefault="00B37AB4" w:rsidP="0082443D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2E4D94">
              <w:rPr>
                <w:sz w:val="20"/>
                <w:szCs w:val="20"/>
              </w:rPr>
              <w:t>50.9% (±7.9)</w:t>
            </w:r>
          </w:p>
        </w:tc>
        <w:tc>
          <w:tcPr>
            <w:tcW w:w="1216" w:type="dxa"/>
          </w:tcPr>
          <w:p w14:paraId="7BDF4293" w14:textId="77777777" w:rsidR="00B37AB4" w:rsidRPr="002E4D94" w:rsidRDefault="00B37AB4" w:rsidP="0082443D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2E4D94">
              <w:rPr>
                <w:sz w:val="20"/>
                <w:szCs w:val="20"/>
              </w:rPr>
              <w:t>87.7% (±6.8)</w:t>
            </w:r>
          </w:p>
        </w:tc>
        <w:tc>
          <w:tcPr>
            <w:tcW w:w="1153" w:type="dxa"/>
          </w:tcPr>
          <w:p w14:paraId="3F09FEDF" w14:textId="77777777" w:rsidR="00B37AB4" w:rsidRPr="002E4D94" w:rsidRDefault="00B37AB4" w:rsidP="0082443D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2E4D94">
              <w:rPr>
                <w:sz w:val="20"/>
                <w:szCs w:val="20"/>
              </w:rPr>
              <w:t>69.4% (±5.2)</w:t>
            </w:r>
          </w:p>
        </w:tc>
        <w:tc>
          <w:tcPr>
            <w:tcW w:w="1170" w:type="dxa"/>
          </w:tcPr>
          <w:p w14:paraId="7D837DCF" w14:textId="77777777" w:rsidR="00B37AB4" w:rsidRPr="002E4D94" w:rsidRDefault="00B37AB4" w:rsidP="0082443D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2E4D94">
              <w:rPr>
                <w:sz w:val="20"/>
                <w:szCs w:val="20"/>
              </w:rPr>
              <w:t>48.5% (±8.5)</w:t>
            </w:r>
          </w:p>
        </w:tc>
        <w:tc>
          <w:tcPr>
            <w:tcW w:w="1134" w:type="dxa"/>
          </w:tcPr>
          <w:p w14:paraId="387E755F" w14:textId="77777777" w:rsidR="00B37AB4" w:rsidRPr="002E4D94" w:rsidRDefault="00B37AB4" w:rsidP="0082443D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2E4D94">
              <w:rPr>
                <w:sz w:val="20"/>
                <w:szCs w:val="20"/>
              </w:rPr>
              <w:t>83.7% (±8.4)</w:t>
            </w:r>
          </w:p>
        </w:tc>
      </w:tr>
    </w:tbl>
    <w:p w14:paraId="7A08BE93" w14:textId="77777777" w:rsidR="00B37AB4" w:rsidRDefault="00B37AB4" w:rsidP="00B37AB4">
      <w:pPr>
        <w:spacing w:line="480" w:lineRule="auto"/>
        <w:jc w:val="both"/>
      </w:pPr>
    </w:p>
    <w:p w14:paraId="3C83FE78" w14:textId="77777777" w:rsidR="00B37AB4" w:rsidRDefault="00B37AB4" w:rsidP="00B37AB4">
      <w:pPr>
        <w:spacing w:line="480" w:lineRule="auto"/>
        <w:jc w:val="both"/>
      </w:pPr>
      <w:r>
        <w:t>Presented as percentage (standard deviation)</w:t>
      </w:r>
    </w:p>
    <w:p w14:paraId="56BC5237" w14:textId="6FAE5F53" w:rsidR="004808DE" w:rsidRDefault="004808DE"/>
    <w:sectPr w:rsidR="00480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84"/>
    <w:rsid w:val="002665B7"/>
    <w:rsid w:val="00441E6D"/>
    <w:rsid w:val="004808DE"/>
    <w:rsid w:val="00680184"/>
    <w:rsid w:val="00B37AB4"/>
    <w:rsid w:val="00CC304D"/>
    <w:rsid w:val="00D879AB"/>
    <w:rsid w:val="00E6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C01ED"/>
  <w15:chartTrackingRefBased/>
  <w15:docId w15:val="{9F9BE40E-06FA-8449-AFEF-A0D851CF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84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0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184"/>
    <w:rPr>
      <w:rFonts w:ascii="Times New Roman" w:hAnsi="Times New Roman"/>
      <w:sz w:val="20"/>
      <w:szCs w:val="20"/>
      <w:lang w:val="en-GB" w:eastAsia="en-US"/>
    </w:rPr>
  </w:style>
  <w:style w:type="table" w:styleId="TableGrid">
    <w:name w:val="Table Grid"/>
    <w:basedOn w:val="TableNormal"/>
    <w:uiPriority w:val="39"/>
    <w:rsid w:val="00B37AB4"/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2</cp:revision>
  <dcterms:created xsi:type="dcterms:W3CDTF">2022-04-26T09:07:00Z</dcterms:created>
  <dcterms:modified xsi:type="dcterms:W3CDTF">2022-04-26T09:07:00Z</dcterms:modified>
</cp:coreProperties>
</file>