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36F"/>
          <w:sz w:val="56"/>
        </w:rPr>
        <w:t>TributaSoft</w:t>
        <w:br/>
      </w:r>
      <w:r>
        <w:rPr>
          <w:b/>
          <w:color w:val="EF7306"/>
          <w:sz w:val="32"/>
        </w:rPr>
        <w:t>Landing de Registro — Guia para TI/TICS</w:t>
      </w:r>
    </w:p>
    <w:p>
      <w:pPr>
        <w:jc w:val="center"/>
      </w:pPr>
      <w:r>
        <w:rPr>
          <w:i/>
          <w:color w:val="333333"/>
          <w:sz w:val="22"/>
        </w:rPr>
        <w:t>Explicacion en lenguaje comun · Que dice y que no dice la landing</w:t>
      </w:r>
    </w:p>
    <w:p/>
    <w:p>
      <w:pPr>
        <w:spacing w:before="200" w:after="80"/>
      </w:pPr>
      <w:r>
        <w:rPr>
          <w:b/>
          <w:color w:val="00236F"/>
          <w:sz w:val="30"/>
        </w:rPr>
        <w:t>Lo esencial en 30 segundos</w:t>
      </w:r>
    </w:p>
    <w:p>
      <w:pPr>
        <w:spacing w:after="80"/>
      </w:pPr>
      <w:r>
        <w:rPr>
          <w:sz w:val="22"/>
        </w:rPr>
        <w:t>La landing es una pagina web (HTML + JavaScript) que vive en el navegador del usuario. Cuando alguien quiere registrarse, sube su firma electronica (.p12) y su certificado de RUC (PDF). La pagina lee esos archivos directamente en su computadora — no hace consultas al SRI ni a ninguna API externa. Solo necesita que TI/TICS le conecte 4 cosas del lado del servidor: enviar SMS, enviar correos y guardar el registro en la base de datos.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3C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21"/>
              </w:rPr>
              <w:t>IMPORTANTE: La version anterior consultaba APIs del SRI para validar el RUC. Esa logica fue REEMPLAZADA. Ahora se valida 100% leyendo los archivos del usuario en el navegador. NO hay que abrir conexiones al SRI desde el backend.</w:t>
            </w:r>
          </w:p>
        </w:tc>
      </w:tr>
    </w:tbl>
    <w:p/>
    <w:p>
      <w:pPr>
        <w:spacing w:before="200" w:after="80"/>
      </w:pPr>
      <w:r>
        <w:rPr>
          <w:b/>
          <w:color w:val="00236F"/>
          <w:sz w:val="30"/>
        </w:rPr>
        <w:t>Lo que la landing YA hace sin necesidad de backend</w:t>
      </w:r>
    </w:p>
    <w:p>
      <w:pPr>
        <w:spacing w:after="80"/>
      </w:pPr>
      <w:r>
        <w:rPr>
          <w:sz w:val="22"/>
        </w:rPr>
        <w:t>Todo lo siguiente ocurre en el navegador del usuario:</w:t>
      </w:r>
    </w:p>
    <w:p>
      <w:pPr>
        <w:pStyle w:val="ListBullet"/>
        <w:spacing w:after="40"/>
        <w:ind w:left="340"/>
      </w:pPr>
      <w:r>
        <w:t>Valida que la firma electronica .p12 sea correcta (clave, vigencia, RUC interno).</w:t>
      </w:r>
    </w:p>
    <w:p>
      <w:pPr>
        <w:pStyle w:val="ListBullet"/>
        <w:spacing w:after="40"/>
        <w:ind w:left="340"/>
      </w:pPr>
      <w:r>
        <w:t>Lee del certificado de RUC en PDF: razon social, direccion, provincia, canton, email, celular, regimen, tipo de contribuyente y fecha de emision.</w:t>
      </w:r>
    </w:p>
    <w:p>
      <w:pPr>
        <w:pStyle w:val="ListBullet"/>
        <w:spacing w:after="40"/>
        <w:ind w:left="340"/>
      </w:pPr>
      <w:r>
        <w:t>Valida que el RUC de la firma coincida con el del certificado.</w:t>
      </w:r>
    </w:p>
    <w:p>
      <w:pPr>
        <w:pStyle w:val="ListBullet"/>
        <w:spacing w:after="40"/>
        <w:ind w:left="340"/>
      </w:pPr>
      <w:r>
        <w:t>Valida que el certificado no tenga mas de 1 mes de emitido.</w:t>
      </w:r>
    </w:p>
    <w:p>
      <w:pPr>
        <w:pStyle w:val="ListBullet"/>
        <w:spacing w:after="40"/>
        <w:ind w:left="340"/>
      </w:pPr>
      <w:r>
        <w:t>Genera los codigos de verificacion (tokens) de SMS y correo con entropia real.</w:t>
      </w:r>
    </w:p>
    <w:p>
      <w:pPr>
        <w:pStyle w:val="ListBullet"/>
        <w:spacing w:after="40"/>
        <w:ind w:left="340"/>
      </w:pPr>
      <w:r>
        <w:t>Limpia/sanea todos los datos antes de enviarlos: MAYUSCULAS, sin tildes, la "n con virgulilla" se convierte en "NI".</w:t>
      </w:r>
    </w:p>
    <w:p>
      <w:pPr>
        <w:pStyle w:val="ListBullet"/>
        <w:spacing w:after="40"/>
        <w:ind w:left="340"/>
      </w:pPr>
      <w:r>
        <w:t>Detecta automaticamente si el usuario esta en PC, tablet o movil.</w:t>
      </w:r>
    </w:p>
    <w:p>
      <w:pPr>
        <w:pStyle w:val="ListBullet"/>
        <w:spacing w:after="40"/>
        <w:ind w:left="340"/>
      </w:pPr>
      <w:r>
        <w:t>Genera el HTML del correo de bienvenida con el resumen y las credenciales.</w:t>
      </w:r>
    </w:p>
    <w:p>
      <w:pPr>
        <w:pStyle w:val="ListBullet"/>
        <w:spacing w:after="40"/>
        <w:ind w:left="340"/>
      </w:pPr>
      <w:r>
        <w:t>Genera el logo banner del cliente (PNG 2970x300).</w:t>
      </w:r>
    </w:p>
    <w:p>
      <w:pPr>
        <w:spacing w:before="200" w:after="80"/>
      </w:pPr>
      <w:r>
        <w:rPr>
          <w:b/>
          <w:color w:val="00236F"/>
          <w:sz w:val="30"/>
        </w:rPr>
        <w:t>Lo que necesita que TI/TICS implemente</w:t>
      </w:r>
    </w:p>
    <w:p>
      <w:pPr>
        <w:spacing w:after="80"/>
      </w:pPr>
      <w:r>
        <w:rPr>
          <w:sz w:val="22"/>
        </w:rPr>
        <w:t>Son 4 puntos de conexion. Cada uno es un endpoint HTTP que la landing va a llamar.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#</w:t>
            </w:r>
          </w:p>
        </w:tc>
        <w:tc>
          <w:tcPr>
            <w:tcW w:type="dxa" w:w="324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49"/>
          </w:tcPr>
          <w:p>
            <w:r>
              <w:rPr>
                <w:b/>
              </w:rPr>
              <w:t>Para que sirve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POST /api/token/sms</w:t>
            </w:r>
          </w:p>
        </w:tc>
        <w:tc>
          <w:tcPr>
            <w:tcW w:type="dxa" w:w="3249"/>
          </w:tcPr>
          <w:p>
            <w:r>
              <w:t>Enviar un codigo de 4 digitos por SMS al celular del usuario.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POST /api/token/email</w:t>
            </w:r>
          </w:p>
        </w:tc>
        <w:tc>
          <w:tcPr>
            <w:tcW w:type="dxa" w:w="3249"/>
          </w:tcPr>
          <w:p>
            <w:r>
              <w:t>Enviar otro codigo de 4 digitos al correo del usuario.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POST /api/email/registro</w:t>
            </w:r>
          </w:p>
        </w:tc>
        <w:tc>
          <w:tcPr>
            <w:tcW w:type="dxa" w:w="3249"/>
          </w:tcPr>
          <w:p>
            <w:r>
              <w:t>Enviar el correo de bienvenida con credenciales y resumen.</w:t>
            </w:r>
          </w:p>
        </w:tc>
      </w:tr>
      <w:tr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POST /api/registro</w:t>
            </w:r>
          </w:p>
        </w:tc>
        <w:tc>
          <w:tcPr>
            <w:tcW w:type="dxa" w:w="3249"/>
          </w:tcPr>
          <w:p>
            <w:r>
              <w:t>Guardar el registro completo en la base de datos.</w:t>
            </w:r>
          </w:p>
        </w:tc>
      </w:tr>
    </w:tbl>
    <w:p/>
    <w:p>
      <w:pPr>
        <w:spacing w:before="200" w:after="80"/>
      </w:pPr>
      <w:r>
        <w:rPr>
          <w:b/>
          <w:color w:val="00236F"/>
          <w:sz w:val="30"/>
        </w:rPr>
        <w:t>Flujo de tokens — orden importante</w:t>
      </w:r>
    </w:p>
    <w:p>
      <w:pPr>
        <w:spacing w:after="80"/>
      </w:pPr>
      <w:r>
        <w:rPr>
          <w:sz w:val="22"/>
        </w:rPr>
        <w:t>En la pantalla de verificacion hay DOS codigos: uno por SMS y otro por correo. No se envian al mismo tiempo. El flujo es secuencial para que el usuario no se confunda:</w:t>
      </w:r>
    </w:p>
    <w:p>
      <w:pPr>
        <w:spacing w:after="80"/>
      </w:pPr>
      <w:r>
        <w:rPr>
          <w:b/>
          <w:sz w:val="22"/>
        </w:rPr>
        <w:t>1. Apenas el usuario llega a esa pantalla, se envia el SMS automaticamente.</w:t>
      </w:r>
    </w:p>
    <w:p>
      <w:pPr>
        <w:spacing w:after="80"/>
      </w:pPr>
      <w:r>
        <w:rPr>
          <w:sz w:val="22"/>
        </w:rPr>
        <w:t xml:space="preserve">   La tarjeta del correo aparece bloqueada (en gris).</w:t>
      </w:r>
    </w:p>
    <w:p>
      <w:pPr>
        <w:spacing w:after="80"/>
      </w:pPr>
      <w:r>
        <w:rPr>
          <w:b/>
          <w:sz w:val="22"/>
        </w:rPr>
        <w:t>2. El usuario digita el codigo del SMS y la pagina lo valida.</w:t>
      </w:r>
    </w:p>
    <w:p>
      <w:pPr>
        <w:spacing w:after="80"/>
      </w:pPr>
      <w:r>
        <w:rPr>
          <w:b/>
          <w:sz w:val="22"/>
        </w:rPr>
        <w:t>3. Recien ahi se desbloquea la tarjeta del correo y se envia el segundo codigo.</w:t>
      </w:r>
    </w:p>
    <w:p>
      <w:pPr>
        <w:spacing w:after="80"/>
      </w:pPr>
      <w:r>
        <w:rPr>
          <w:b/>
          <w:sz w:val="22"/>
        </w:rPr>
        <w:t>4. El usuario digita el codigo del correo y avanza.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4F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21"/>
              </w:rPr>
              <w:t>Esto significa que el backend va a recibir las dos llamadas en orden: primero /api/token/sms, y solo despues de que el usuario valide ese codigo, se llamara a /api/token/email.</w:t>
            </w:r>
          </w:p>
        </w:tc>
      </w:tr>
    </w:tbl>
    <w:p/>
    <w:p>
      <w:pPr>
        <w:spacing w:before="200" w:after="80"/>
      </w:pPr>
      <w:r>
        <w:rPr>
          <w:b/>
          <w:color w:val="00236F"/>
          <w:sz w:val="30"/>
        </w:rPr>
        <w:t>Seguridad — lo que TI/TICS tiene que saber</w:t>
      </w:r>
    </w:p>
    <w:p>
      <w:pPr>
        <w:spacing w:before="120" w:after="80"/>
      </w:pPr>
      <w:r>
        <w:rPr>
          <w:b/>
          <w:color w:val="00236F"/>
          <w:sz w:val="25"/>
        </w:rPr>
        <w:t>Sobre los tokens</w:t>
      </w:r>
    </w:p>
    <w:p>
      <w:pPr>
        <w:spacing w:after="80"/>
      </w:pPr>
      <w:r>
        <w:rPr>
          <w:sz w:val="22"/>
        </w:rPr>
        <w:t>En la version actual (mock), los codigos se generan en el navegador y se envian al backend solo para que los entregue por SMS/correo. Esto es inseguro porque alguien con conocimientos podria abrir la consola del navegador y ver el codigo antes de que llegue al telefono.</w:t>
      </w:r>
    </w:p>
    <w:p>
      <w:pPr>
        <w:spacing w:after="80"/>
      </w:pPr>
      <w:r>
        <w:rPr>
          <w:b/>
          <w:sz w:val="22"/>
        </w:rPr>
        <w:t>Recomendacion para produccion:</w:t>
      </w:r>
    </w:p>
    <w:p>
      <w:pPr>
        <w:pStyle w:val="ListBullet"/>
        <w:spacing w:after="40"/>
        <w:ind w:left="340"/>
      </w:pPr>
      <w:r>
        <w:t>Que el backend genere el codigo (no el frontend).</w:t>
      </w:r>
    </w:p>
    <w:p>
      <w:pPr>
        <w:pStyle w:val="ListBullet"/>
        <w:spacing w:after="40"/>
        <w:ind w:left="340"/>
      </w:pPr>
      <w:r>
        <w:t>Que el backend lo guarde en una tabla con tiempo de vida (TTL) de 5 minutos.</w:t>
      </w:r>
    </w:p>
    <w:p>
      <w:pPr>
        <w:pStyle w:val="ListBullet"/>
        <w:spacing w:after="40"/>
        <w:ind w:left="340"/>
      </w:pPr>
      <w:r>
        <w:t>Que el frontend envie solo el codigo que el usuario digito, y el backend responda si es valido.</w:t>
      </w:r>
    </w:p>
    <w:p>
      <w:pPr>
        <w:spacing w:before="120" w:after="80"/>
      </w:pPr>
      <w:r>
        <w:rPr>
          <w:b/>
          <w:color w:val="00236F"/>
          <w:sz w:val="25"/>
        </w:rPr>
        <w:t>Sobre la clave del usuario</w:t>
      </w:r>
    </w:p>
    <w:p>
      <w:pPr>
        <w:spacing w:after="80"/>
      </w:pPr>
      <w:r>
        <w:rPr>
          <w:sz w:val="22"/>
        </w:rPr>
        <w:t>La clave la elige el usuario en la pantalla 6. Es lo unico que NO se sanea/transforma: se manda al backend tal cual la escribio. En la base de datos NUNCA debe guardarse en texto plano: hay que pasarla por bcrypt o argon2 antes de guardarla.</w:t>
      </w:r>
    </w:p>
    <w:p>
      <w:pPr>
        <w:spacing w:before="120" w:after="80"/>
      </w:pPr>
      <w:r>
        <w:rPr>
          <w:b/>
          <w:color w:val="00236F"/>
          <w:sz w:val="25"/>
        </w:rPr>
        <w:t>Sobre los archivos que sube el usuario</w:t>
      </w:r>
    </w:p>
    <w:p>
      <w:pPr>
        <w:spacing w:after="80"/>
      </w:pPr>
      <w:r>
        <w:rPr>
          <w:sz w:val="22"/>
        </w:rPr>
        <w:t>La firma .p12 y el certificado PDF NO se suben al servidor. Se leen en el navegador y se descartan. Solo se persisten los datos extraidos (RUC, razon social, direccion, etc.), nunca los archivos originales.</w:t>
      </w:r>
    </w:p>
    <w:p>
      <w:pPr>
        <w:spacing w:before="200" w:after="80"/>
      </w:pPr>
      <w:r>
        <w:rPr>
          <w:b/>
          <w:color w:val="00236F"/>
          <w:sz w:val="30"/>
        </w:rPr>
        <w:t>Base de datos — tablas sugeridas</w:t>
      </w:r>
    </w:p>
    <w:p>
      <w:pPr>
        <w:spacing w:after="80"/>
      </w:pPr>
      <w:r>
        <w:rPr>
          <w:sz w:val="22"/>
        </w:rPr>
        <w:t>Son tablas orientativas. Si ya tienen un esquema, mapeen los campos. La idea es separar por contexto (datos del usuario, datos tributarios, facturacion, logo).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Para que es</w:t>
            </w:r>
          </w:p>
        </w:tc>
      </w:tr>
      <w:tr>
        <w:tc>
          <w:tcPr>
            <w:tcW w:type="dxa" w:w="4873"/>
          </w:tcPr>
          <w:p>
            <w:r>
              <w:t>usuarios</w:t>
            </w:r>
          </w:p>
        </w:tc>
        <w:tc>
          <w:tcPr>
            <w:tcW w:type="dxa" w:w="4873"/>
          </w:tcPr>
          <w:p>
            <w:r>
              <w:t>Datos del contribuyente + credenciales (RUC, razon social, email, celular, direccion, clave hasheada, estado).</w:t>
            </w:r>
          </w:p>
        </w:tc>
      </w:tr>
      <w:tr>
        <w:tc>
          <w:tcPr>
            <w:tcW w:type="dxa" w:w="4873"/>
          </w:tcPr>
          <w:p>
            <w:r>
              <w:t>usuarios_tributario</w:t>
            </w:r>
          </w:p>
        </w:tc>
        <w:tc>
          <w:tcPr>
            <w:tcW w:type="dxa" w:w="4873"/>
          </w:tcPr>
          <w:p>
            <w:r>
              <w:t>Regimen (GENERAL / RIMPE) y tipo de contribuyente (NO OBLIGADO / OBLIGADO / AGENTE RETENCION / ESPECIAL / GRAN CONTRIBUYENTE) + No. resolucion si aplica.</w:t>
            </w:r>
          </w:p>
        </w:tc>
      </w:tr>
      <w:tr>
        <w:tc>
          <w:tcPr>
            <w:tcW w:type="dxa" w:w="4873"/>
          </w:tcPr>
          <w:p>
            <w:r>
              <w:t>usuarios_facturacion</w:t>
            </w:r>
          </w:p>
        </w:tc>
        <w:tc>
          <w:tcPr>
            <w:tcW w:type="dxa" w:w="4873"/>
          </w:tcPr>
          <w:p>
            <w:r>
              <w:t>Modo (nuevo o continuar), codigo de establecimiento, punto de emision, descripcion del punto.</w:t>
            </w:r>
          </w:p>
        </w:tc>
      </w:tr>
      <w:tr>
        <w:tc>
          <w:tcPr>
            <w:tcW w:type="dxa" w:w="4873"/>
          </w:tcPr>
          <w:p>
            <w:r>
              <w:t>usuarios_secuencias</w:t>
            </w:r>
          </w:p>
        </w:tc>
        <w:tc>
          <w:tcPr>
            <w:tcW w:type="dxa" w:w="4873"/>
          </w:tcPr>
          <w:p>
            <w:r>
              <w:t>Siguiente numero por tipo de documento (factura, NC, ND, retencion, guia).</w:t>
            </w:r>
          </w:p>
        </w:tc>
      </w:tr>
      <w:tr>
        <w:tc>
          <w:tcPr>
            <w:tcW w:type="dxa" w:w="4873"/>
          </w:tcPr>
          <w:p>
            <w:r>
              <w:t>usuarios_logo</w:t>
            </w:r>
          </w:p>
        </w:tc>
        <w:tc>
          <w:tcPr>
            <w:tcW w:type="dxa" w:w="4873"/>
          </w:tcPr>
          <w:p>
            <w:r>
              <w:t>PNG del banner generado para el cliente.</w:t>
            </w:r>
          </w:p>
        </w:tc>
      </w:tr>
      <w:tr>
        <w:tc>
          <w:tcPr>
            <w:tcW w:type="dxa" w:w="4873"/>
          </w:tcPr>
          <w:p>
            <w:r>
              <w:t>tokens_verificacion (opcional)</w:t>
            </w:r>
          </w:p>
        </w:tc>
        <w:tc>
          <w:tcPr>
            <w:tcW w:type="dxa" w:w="4873"/>
          </w:tcPr>
          <w:p>
            <w:r>
              <w:t>Solo si implementan validacion de tokens del lado servidor — recomendado.</w:t>
            </w:r>
          </w:p>
        </w:tc>
      </w:tr>
    </w:tbl>
    <w:p/>
    <w:p>
      <w:pPr>
        <w:spacing w:before="200" w:after="80"/>
      </w:pPr>
      <w:r>
        <w:rPr>
          <w:b/>
          <w:color w:val="00236F"/>
          <w:sz w:val="30"/>
        </w:rPr>
        <w:t>Como integrar — pasos para TI/TICS</w:t>
      </w:r>
    </w:p>
    <w:p>
      <w:pPr>
        <w:spacing w:after="80"/>
      </w:pPr>
      <w:r>
        <w:rPr>
          <w:b/>
          <w:color w:val="EF7306"/>
        </w:rPr>
        <w:t xml:space="preserve">Paso 1. </w:t>
      </w:r>
      <w:r>
        <w:t>Levantar los 4 endpoints en su backend (no necesitan SRI, solo Twilio/SMS local + SendGrid/SES + insercion en BD).</w:t>
      </w:r>
    </w:p>
    <w:p>
      <w:pPr>
        <w:spacing w:after="80"/>
      </w:pPr>
      <w:r>
        <w:rPr>
          <w:b/>
          <w:color w:val="EF7306"/>
        </w:rPr>
        <w:t xml:space="preserve">Paso 2. </w:t>
      </w:r>
      <w:r>
        <w:t>En los archivos token-service.js y email-service.js de la landing, reemplazar las funciones "mock" por llamadas fetch() reales a esos endpoints. El documento tecnico HANDOVER-TICS.md (en la raiz del repo) trae el ejemplo de codigo exacto.</w:t>
      </w:r>
    </w:p>
    <w:p>
      <w:pPr>
        <w:spacing w:after="80"/>
      </w:pPr>
      <w:r>
        <w:rPr>
          <w:b/>
          <w:color w:val="EF7306"/>
        </w:rPr>
        <w:t xml:space="preserve">Paso 3. </w:t>
      </w:r>
      <w:r>
        <w:t>En wizard.js, dentro de finishWizard(), agregar la llamada a /api/registro para persistir.</w:t>
      </w:r>
    </w:p>
    <w:p>
      <w:pPr>
        <w:spacing w:after="80"/>
      </w:pPr>
      <w:r>
        <w:rPr>
          <w:b/>
          <w:color w:val="EF7306"/>
        </w:rPr>
        <w:t xml:space="preserve">Paso 4. </w:t>
      </w:r>
      <w:r>
        <w:t>Mover el contenido de la landing (index.html + carpeta assets/) a su servidor de produccion. Hoy esta en GitHub Pages como demo.</w:t>
      </w:r>
    </w:p>
    <w:p>
      <w:pPr>
        <w:spacing w:after="80"/>
      </w:pPr>
      <w:r>
        <w:rPr>
          <w:b/>
          <w:color w:val="EF7306"/>
        </w:rPr>
        <w:t xml:space="preserve">Paso 5. </w:t>
      </w:r>
      <w:r>
        <w:t>Confirmar que la URL del portal post-registro siga siendo: https://tbc.tributasoft.ec/Erp-web/templates/registro/login.xhtml?faces-redirect=true. Si cambia, hay que actualizarla en dos lugares (wizard.js y email-service.js).</w:t>
      </w:r>
    </w:p>
    <w:p>
      <w:pPr>
        <w:spacing w:after="80"/>
      </w:pPr>
      <w:r>
        <w:rPr>
          <w:b/>
          <w:color w:val="EF7306"/>
        </w:rPr>
        <w:t xml:space="preserve">Paso 6. </w:t>
      </w:r>
      <w:r>
        <w:t>Probar end-to-end: subir una firma .p12 real, un certificado RUC real, recibir SMS y correo reales, ver el registro guardado en la BD.</w:t>
      </w:r>
    </w:p>
    <w:p>
      <w:pPr>
        <w:spacing w:before="200" w:after="80"/>
      </w:pPr>
      <w:r>
        <w:rPr>
          <w:b/>
          <w:color w:val="00236F"/>
          <w:sz w:val="30"/>
        </w:rPr>
        <w:t>Proveedores sugeridos (para SMS y correo)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Opciones</w:t>
            </w:r>
          </w:p>
        </w:tc>
      </w:tr>
      <w:tr>
        <w:tc>
          <w:tcPr>
            <w:tcW w:type="dxa" w:w="4873"/>
          </w:tcPr>
          <w:p>
            <w:r>
              <w:t>SMS</w:t>
            </w:r>
          </w:p>
        </w:tc>
        <w:tc>
          <w:tcPr>
            <w:tcW w:type="dxa" w:w="4873"/>
          </w:tcPr>
          <w:p>
            <w:r>
              <w:t>Twilio, MessageBird, o gateways locales (Movistar, Claro, CNT).</w:t>
            </w:r>
          </w:p>
        </w:tc>
      </w:tr>
      <w:tr>
        <w:tc>
          <w:tcPr>
            <w:tcW w:type="dxa" w:w="4873"/>
          </w:tcPr>
          <w:p>
            <w:r>
              <w:t>Correo transaccional</w:t>
            </w:r>
          </w:p>
        </w:tc>
        <w:tc>
          <w:tcPr>
            <w:tcW w:type="dxa" w:w="4873"/>
          </w:tcPr>
          <w:p>
            <w:r>
              <w:t>SendGrid, AWS SES, Mailgun.</w:t>
            </w:r>
          </w:p>
        </w:tc>
      </w:tr>
    </w:tbl>
    <w:p/>
    <w:p>
      <w:pPr>
        <w:spacing w:before="200" w:after="80"/>
      </w:pPr>
      <w:r>
        <w:rPr>
          <w:b/>
          <w:color w:val="00236F"/>
          <w:sz w:val="30"/>
        </w:rPr>
        <w:t>Lo que conviene preguntarle al equipo TI/TICS</w:t>
      </w:r>
    </w:p>
    <w:p>
      <w:pPr>
        <w:pStyle w:val="ListBullet"/>
        <w:spacing w:after="40"/>
        <w:ind w:left="340"/>
      </w:pPr>
      <w:r>
        <w:t>Donde se va a alojar la landing en produccion (mismo dominio que el portal o subdominio)?</w:t>
      </w:r>
    </w:p>
    <w:p>
      <w:pPr>
        <w:pStyle w:val="ListBullet"/>
        <w:spacing w:after="40"/>
        <w:ind w:left="340"/>
      </w:pPr>
      <w:r>
        <w:t>Si es subdominio distinto: estan listos para configurar CORS?</w:t>
      </w:r>
    </w:p>
    <w:p>
      <w:pPr>
        <w:pStyle w:val="ListBullet"/>
        <w:spacing w:after="40"/>
        <w:ind w:left="340"/>
      </w:pPr>
      <w:r>
        <w:t>Que proveedor de SMS van a usar y si tienen presupuesto/cuenta activa.</w:t>
      </w:r>
    </w:p>
    <w:p>
      <w:pPr>
        <w:pStyle w:val="ListBullet"/>
        <w:spacing w:after="40"/>
        <w:ind w:left="340"/>
      </w:pPr>
      <w:r>
        <w:t>Que proveedor de correo transaccional ya tienen integrado.</w:t>
      </w:r>
    </w:p>
    <w:p>
      <w:pPr>
        <w:pStyle w:val="ListBullet"/>
        <w:spacing w:after="40"/>
        <w:ind w:left="340"/>
      </w:pPr>
      <w:r>
        <w:t>Cual es el patron de hash de claves que ya usan (bcrypt, argon2, otro)?</w:t>
      </w:r>
    </w:p>
    <w:p>
      <w:pPr>
        <w:pStyle w:val="ListBullet"/>
        <w:spacing w:after="40"/>
        <w:ind w:left="340"/>
      </w:pPr>
      <w:r>
        <w:t>Si quieren manejar los tokens del lado servidor (mas seguro) o conformarse con el modo actual.</w:t>
      </w:r>
    </w:p>
    <w:p>
      <w:pPr>
        <w:pStyle w:val="ListBullet"/>
        <w:spacing w:after="40"/>
        <w:ind w:left="340"/>
      </w:pPr>
      <w:r>
        <w:t>Si necesitan que se integre con algun sistema de tracking/analytics (Google Analytics, Mixpanel) — hoy hay un track() interno que solo loguea a consola.</w:t>
      </w:r>
    </w:p>
    <w:p>
      <w:pPr>
        <w:spacing w:before="200" w:after="80"/>
      </w:pPr>
      <w:r>
        <w:rPr>
          <w:b/>
          <w:color w:val="00236F"/>
          <w:sz w:val="30"/>
        </w:rPr>
        <w:t>Documento tecnico detallado</w:t>
      </w:r>
    </w:p>
    <w:p>
      <w:pPr>
        <w:spacing w:after="80"/>
      </w:pPr>
      <w:r>
        <w:rPr>
          <w:sz w:val="22"/>
        </w:rPr>
        <w:t>Este Word es la explicacion en lenguaje comun. En el repo (raiz del proyecto) esta el archivo HANDOVER-TICS.md con los detalles tecnicos: estructura JSON de cada request, esquema completo de BD con campos y tipos, snippets de codigo exactos para reemplazar las funciones mock, y notas de seguridad.</w:t>
      </w:r>
    </w:p>
    <w:p>
      <w:pPr>
        <w:spacing w:after="80"/>
      </w:pPr>
      <w:r>
        <w:rPr>
          <w:sz w:val="22"/>
        </w:rPr>
        <w:t>Ese archivo es para el equipo de desarrollo. Este Word es para llevar a la reunion.</w:t>
      </w:r>
    </w:p>
    <w:p/>
    <w:p>
      <w:pPr>
        <w:jc w:val="center"/>
      </w:pPr>
      <w:r>
        <w:rPr>
          <w:i/>
          <w:color w:val="333333"/>
          <w:sz w:val="18"/>
        </w:rPr>
        <w:t>TributaSoft · Documento generado el 2026-05-18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