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1008"/>
        <w:gridCol w:w="851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noWrap w:val="0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b/>
                <w:highlight w:val="none"/>
                <w:lang w:val="en-US" w:eastAsia="zh-CN"/>
              </w:rPr>
              <w:t>2018级计算机科学与技术04班/2018级信息安全专业02班/2018级信息安全专业02班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021" w:type="dxa"/>
            <w:noWrap w:val="0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b/>
                <w:highlight w:val="none"/>
                <w:lang w:val="en-US" w:eastAsia="zh-CN"/>
              </w:rPr>
              <w:t>蒋莹倩/廖然/王青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484" w:type="dxa"/>
            <w:gridSpan w:val="6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单点登录系统的设计与实现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2020.9.29~2020.10.29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880" w:type="dxa"/>
            <w:gridSpan w:val="3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DS3 401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noWrap w:val="0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880" w:type="dxa"/>
            <w:gridSpan w:val="3"/>
            <w:noWrap w:val="0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■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747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算法/实验过程正确；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747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利用Java</w:t>
            </w:r>
            <w:r>
              <w:t xml:space="preserve"> </w:t>
            </w:r>
            <w:r>
              <w:rPr>
                <w:rFonts w:hint="eastAsia"/>
              </w:rPr>
              <w:t>EE技术实现一个单点登录系统，用户仅需要在该系统中登录一次，即可以访问互信的多个应用系统。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747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1、实现2个简单的、需要用户登录才能使用的应用系统，这2个应用称为系统A和系统B。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2、设计实现一个单点登录系统。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3、将系统A和系统B与单点登录系统进行集成。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4、从单点登录系统登录后，可以直接访问系统A和系统B。</w:t>
            </w:r>
          </w:p>
          <w:p>
            <w:pPr>
              <w:ind w:firstLine="435"/>
            </w:pPr>
            <w:r>
              <w:rPr>
                <w:rFonts w:hint="eastAsia"/>
              </w:rPr>
              <w:t>5、未登录状态下访问系统A或者系统B，跳转到单点登录系统。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6、在实验中使用git进行源代码管理。</w:t>
            </w:r>
          </w:p>
          <w:p>
            <w:pPr>
              <w:ind w:firstLine="435"/>
              <w:rPr>
                <w:rFonts w:hint="eastAsia"/>
              </w:rPr>
            </w:pPr>
            <w:r>
              <w:t>7、</w:t>
            </w:r>
            <w:r>
              <w:rPr>
                <w:rFonts w:hint="eastAsia"/>
              </w:rPr>
              <w:t>在实验中用maven打包构建应用程序。</w:t>
            </w:r>
          </w:p>
          <w:p>
            <w:pPr>
              <w:ind w:firstLine="435"/>
              <w:rPr>
                <w:rFonts w:hint="eastAsia"/>
              </w:rPr>
            </w:pPr>
            <w:r>
              <w:t>8、</w:t>
            </w:r>
            <w:r>
              <w:rPr>
                <w:rFonts w:hint="eastAsia"/>
              </w:rPr>
              <w:t>程序采用MVC架构。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747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本组实现基于OAuth2.0协议的SSO单点登陆系统。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OAuth2.0 协议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1.1 基本概念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OAuth2.0是OAuth协议的延续版本，但不向前兼容OAuth 1.0。OAuth 2.0关注客户端开发者的简易性。要么通过组织在资源拥有者和HTTP服务商之间的被批准的交互动作代表用户，要么允许第三方应用代表用户获得访问的权限。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1.2 协议的参与者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从基本概念中得出OAuth的参与实体有如下四个：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RO (resource owner): 资源所有者，对资源具有授权能力的人。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即用户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RS (resource server): 资源服务器，它存储资源，并处理对资源的访问请求。如Google资源服务器，它所保管的资源就是用户Alice的照片。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Client: 第三方应用，它获得RO的授权后便可以去访问RO的资源。如网易印像服务。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AS (authorization server): 授权服务器，它认证RO的身份，为RO提供授权审批流程，并最终颁发授权令牌(Access Token)。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1.3 授权类型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OAuth2.0为了支持这些不同类型的第三方应用，提出了多种授权类型，如授权码 (Authorization Code Grant)、隐式授权 (Implicit Grant)、RO凭证授权 (Resource Owner Password Credentials Grant)、Client凭证授权 (Client Credentials Grant)。本组则实现授权码(Authorization Code Grant)类型。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授权码类型的开放授权流程图如下：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</w:pPr>
            <w:r>
              <w:drawing>
                <wp:inline distT="0" distB="0" distL="114300" distR="114300">
                  <wp:extent cx="4914900" cy="2895600"/>
                  <wp:effectExtent l="0" t="0" r="762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具体描述如下：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(1) Client初始化协议的执行流程。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R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edirect_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URI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中应包含如下参数：client_id, scope (描述被访问的资源), redirect_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URI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(即Client的URI), state (用于抵制CSRF攻击). 此外，请求中还可以包含access_type和approval_prompt参数。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(2) AS认证RO身份，并提供页面供RO决定是否批准或拒绝Client的此次请求。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(3) 若请求被批准，AS使用步骤(1)中Client提供的redirect_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URI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重定向RO用户代理到Client。若请求被拒绝，AS将通过redirect_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URI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返回相应的错误信息。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(4) Client拿authorization_code去访问AS以交换所需的access_token。Client请求信息中应包含用于认证Client身份所需的认证数据，以及上一步请求authorization_code时所用的redirect_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URI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(5) AS在收到authorization_code时需要验证Client的身份，并验证收到的redirect_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URI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与第3步请求authorization_code时所使用的redirect_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URI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相匹配。如果验证通过，AS将返回access_token，以及refresh_token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（交换并刷新令牌）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1.4授权码类型的时序图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103495" cy="3474085"/>
                  <wp:effectExtent l="0" t="0" r="1905" b="63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495" cy="347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类的UML图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以下为授权码参与者和SSO中对应情况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Client -- 项目APP8081、项目APP8082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RS、AS -- 项目Server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RO -- 项目Server中User类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APP8081：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099050" cy="2976245"/>
                  <wp:effectExtent l="0" t="0" r="6350" b="1079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297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Server：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098415" cy="3321050"/>
                  <wp:effectExtent l="0" t="0" r="6985" b="127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332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Server 实现包装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数据库相关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数据库使用MySQL，并采用JDBC对接远程数据库完成操作。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主要步骤为: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 w:firstLine="480" w:firstLineChars="2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注册驱动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 w:firstLine="480" w:firstLineChars="2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获得链接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得到操作数据库sql语句的对象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 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执行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  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获得结果 集合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·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关闭资源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747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ascii="等线" w:hAnsi="等线" w:eastAsia="等线"/>
                <w:bCs/>
                <w:kern w:val="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四、实验结果及分析和（或）源程序调试过程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default" w:ascii="等线" w:hAnsi="等线" w:eastAsia="等线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bCs/>
                <w:kern w:val="0"/>
                <w:sz w:val="24"/>
                <w:lang w:val="en-US" w:eastAsia="zh-CN"/>
              </w:rPr>
              <w:t>见 SSO</w:t>
            </w:r>
            <w:bookmarkStart w:id="0" w:name="_GoBack"/>
            <w:bookmarkEnd w:id="0"/>
            <w:r>
              <w:rPr>
                <w:rFonts w:hint="eastAsia" w:ascii="等线" w:hAnsi="等线" w:eastAsia="等线"/>
                <w:bCs/>
                <w:kern w:val="0"/>
                <w:sz w:val="24"/>
                <w:lang w:val="en-US" w:eastAsia="zh-CN"/>
              </w:rPr>
              <w:t>结果演示.mp4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88B49"/>
    <w:multiLevelType w:val="singleLevel"/>
    <w:tmpl w:val="D3288B4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E6BE14"/>
    <w:multiLevelType w:val="singleLevel"/>
    <w:tmpl w:val="1AE6BE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00FA6"/>
    <w:rsid w:val="00C74872"/>
    <w:rsid w:val="02685F0A"/>
    <w:rsid w:val="07F42982"/>
    <w:rsid w:val="0B212C67"/>
    <w:rsid w:val="116819AE"/>
    <w:rsid w:val="13535826"/>
    <w:rsid w:val="1474534F"/>
    <w:rsid w:val="4027761D"/>
    <w:rsid w:val="42F567F5"/>
    <w:rsid w:val="43B33452"/>
    <w:rsid w:val="455151A3"/>
    <w:rsid w:val="4591768C"/>
    <w:rsid w:val="468F14F3"/>
    <w:rsid w:val="53F73612"/>
    <w:rsid w:val="580D214E"/>
    <w:rsid w:val="7DC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2020-10-29T12:33:00Z</dcterms:created>
  <dc:creator>Rr</dc:creator>
  <cp:lastModifiedBy>Rr</cp:lastModifiedBy>
  <dcterms:modified xsi:type="dcterms:W3CDTF">2020-11-01T18:20:10Z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