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4B460">
      <w:pPr>
        <w:pStyle w:val="3"/>
        <w:jc w:val="center"/>
      </w:pPr>
      <w:r>
        <w:t>创造潜能的行为指标能否从成长叙述中测量？</w:t>
      </w:r>
    </w:p>
    <w:p w14:paraId="4354B149">
      <w:pPr>
        <w:pStyle w:val="4"/>
      </w:pPr>
      <w:r>
        <w:t>——基于 353 位获奖学生与诺贝尔奖得主的心理测量学检验</w:t>
      </w:r>
    </w:p>
    <w:p w14:paraId="2E0C3FCD">
      <w:r>
        <w:rPr>
          <w:b/>
        </w:rPr>
        <w:t>摘要</w:t>
      </w:r>
      <w:r>
        <w:t>　创造性人才识别长期依赖自陈量表与成果清单，二者之间缺少可观察的行为证据。本研究检验一套 29 项行为指标（组织为六维度）能否从成长叙述中被测量。353 人（获奖学生 137 人，诺贝尔奖得主 216 人）的公开叙述经逐人编码得到 3 550 条判断，每条含指标、等级（行为／表态）、人生阶段与原文引语。结果显示：可观测性高度不均，22 项指标在原型样本中有三成以上个体具备行为级证据，5 项因依赖第三方评价或多稿记录而几乎不出现，方向与认同类指标则以表态为主；六维结构未获支持，同维相关仅略高于跨维（.105 比 .081，*p* = .020），因子个数在 2 至 8 间不定，六因子模型 CFI = .812，各维度内部一致性为 .42—.65，数据更接近两个内容簇；发展顺序大体符合预期（15/21 项方向一致），但方向与认同类指标的峰值位于本科阶段，呈窗口型而非递增型；两群体构成高度相似（*ρ* = .84）而侧重不同，差异方向与文体惯例吻合。研究表明，该指标体系在描述层面可用，在结构与推论层面尚不成立，宜作为形成性内容分类用于指标筛选。</w:t>
      </w:r>
    </w:p>
    <w:p w14:paraId="6A6330B9">
      <w:r>
        <w:rPr>
          <w:b/>
        </w:rPr>
        <w:t>关键词</w:t>
      </w:r>
      <w:r>
        <w:t>　创造性人才识别　行为指标　构念效度　结构效度　发展效度</w:t>
      </w:r>
    </w:p>
    <w:p w14:paraId="583F4D59">
      <w:pPr>
        <w:pStyle w:val="4"/>
      </w:pPr>
      <w:r>
        <w:t>1 引言</w:t>
      </w:r>
    </w:p>
    <w:p w14:paraId="719B6D86">
      <w:pPr>
        <w:pStyle w:val="5"/>
      </w:pPr>
      <w:r>
        <w:t>1.1 人才识别的测量缺口</w:t>
      </w:r>
    </w:p>
    <w:p w14:paraId="5DA93DD0">
      <w:r>
        <w:t>创造性研究已形成"倾向—过程—产物"的三层描述（Amabile, 1996; Guilford, 1950; Simonton, 2000），人才识别实践却主要使用其中的两端：自陈量表测个体对自身特质与动机的判断，成就清单记录已发生的论文、专利与竞赛结果（Renzulli, 1978）。二者之间存在缺口——量表结果与真实创造性表现的相关有限，成就清单则无法解释"哪一心理过程带来了这项成就"，对尚未产出者也没有区分力。</w:t>
      </w:r>
    </w:p>
    <w:p w14:paraId="77C5DE86">
      <w:r>
        <w:t>填补缺口的候选是可观察的行为证据：个体在真实情境中做了什么、遇到阻碍如何调整、如何判断方向是否值得坚持。困难在于这类证据通常没有独立记录，研究者所能获得的往往是</w:t>
      </w:r>
      <w:r>
        <w:rPr>
          <w:b/>
        </w:rPr>
        <w:t>关于这个人的成长叙述</w:t>
      </w:r>
      <w:r>
        <w:t>——自传、深度访谈、人物通讯。由此产生一个测量学问题：从叙述文本中提取的行为指标，是否具备可用性。</w:t>
      </w:r>
    </w:p>
    <w:p w14:paraId="3092CBFE">
      <w:pPr>
        <w:pStyle w:val="5"/>
      </w:pPr>
      <w:r>
        <w:t>1.2 文本作为行为样本的三重偏倚</w:t>
      </w:r>
    </w:p>
    <w:p w14:paraId="7BBA3296">
      <w:r>
        <w:t>把叙述当作行为样本，其前提是被反复提及的具体行为反映了真实经历。本研究情境下这一前提受三重偏倚限制（参见 Podsakoff et al., 2003）。</w:t>
      </w:r>
    </w:p>
    <w:p w14:paraId="6D866565">
      <w:r>
        <w:rPr>
          <w:b/>
        </w:rPr>
        <w:t>篇幅偏倚。</w:t>
      </w:r>
      <w:r>
        <w:t xml:space="preserve"> 指标条数与文本字数对数的相关达 .81；两群体篇幅分布几乎不重叠——学生材料中位不足千字，得主自传与访谈中位超过两万字符。任何跨组的数量比较都会被篇幅吞掉。</w:t>
      </w:r>
    </w:p>
    <w:p w14:paraId="12FB7C40">
      <w:r>
        <w:rPr>
          <w:b/>
        </w:rPr>
        <w:t>文体偏倚。</w:t>
      </w:r>
      <w:r>
        <w:t xml:space="preserve"> 表彰性报道遵循"受挫—坚持—突破"结构，自传倾向将早年兴趣追认为一生伏笔。同一行为在不同文体中被提及的概率不同，故文本中的出现率首先反映</w:t>
      </w:r>
      <w:r>
        <w:rPr>
          <w:b/>
        </w:rPr>
        <w:t>叙述机会</w:t>
      </w:r>
      <w:r>
        <w:t>，而非特质强度。</w:t>
      </w:r>
    </w:p>
    <w:p w14:paraId="530052B0">
      <w:r>
        <w:rPr>
          <w:b/>
        </w:rPr>
        <w:t>归属偏倚。</w:t>
      </w:r>
      <w:r>
        <w:t xml:space="preserve"> 多人联合访谈中他人发言与访问者提问、第三人称报道中记者评价，都易与本人的行为混淆。</w:t>
      </w:r>
    </w:p>
    <w:p w14:paraId="7184F348">
      <w:r>
        <w:t>据此，本研究在编码前删除只含荣誉词的句子，将多人联合访谈按发言标记切分并只保留目标人物段落，跨组比较只比构成不比数量。</w:t>
      </w:r>
    </w:p>
    <w:p w14:paraId="50FE696F">
      <w:pPr>
        <w:pStyle w:val="5"/>
      </w:pPr>
      <w:r>
        <w:t>1.3 三个研究问题与假设</w:t>
      </w:r>
    </w:p>
    <w:p w14:paraId="30FF9292">
      <w:r>
        <w:t>若指标体系具备可用性，应同时满足三条判据：</w:t>
      </w:r>
      <w:r>
        <w:rPr>
          <w:b/>
        </w:rPr>
        <w:t>看得见</w:t>
      </w:r>
      <w:r>
        <w:t>、</w:t>
      </w:r>
      <w:r>
        <w:rPr>
          <w:b/>
        </w:rPr>
        <w:t>分得开</w:t>
      </w:r>
      <w:r>
        <w:t>、</w:t>
      </w:r>
      <w:r>
        <w:rPr>
          <w:b/>
        </w:rPr>
        <w:t>有秩序</w:t>
      </w:r>
      <w:r>
        <w:t>。据此提出三个问题与相应假设。</w:t>
      </w:r>
    </w:p>
    <w:p w14:paraId="6CB811E1">
      <w:r>
        <w:rPr>
          <w:b/>
        </w:rPr>
        <w:t>问题一（可观测性）</w:t>
      </w:r>
      <w:r>
        <w:t>　假设 1：多数指标可获得行为级证据，但可观测性随所需情境系统分化。（1a）依赖外部机构背书或需要多轮修改记录的指标可观测性低；（1b）描述方向与动机的指标更多以表态而非行为出现。</w:t>
      </w:r>
    </w:p>
    <w:p w14:paraId="3767D4C8">
      <w:r>
        <w:rPr>
          <w:b/>
        </w:rPr>
        <w:t>问题二（结构效度）</w:t>
      </w:r>
      <w:r>
        <w:t>　假设 2：指标结构支持模型设定的六个维度。（2a）同维度指标平均相关显著高于跨维度；（2b）六因子模型的拟合可接受且优于更少因子的模型；（2c）各维度内部一致性不低于 .70，可分别计分。</w:t>
      </w:r>
    </w:p>
    <w:p w14:paraId="10E9C22F">
      <w:r>
        <w:rPr>
          <w:b/>
        </w:rPr>
        <w:t>问题三（发展与群体差异）</w:t>
      </w:r>
      <w:r>
        <w:t>　假设 3：证据在人生阶段上的分布符合发展假设，群体构成存在系统差异。（3a）好奇与探索类证据偏早，独立判断与自主投入类偏晚；（3b）两群体构成存在差异，方向与各自文体的叙述重点一致；（3c）学历较高者的探索类证据较少。</w:t>
      </w:r>
    </w:p>
    <w:p w14:paraId="7DB16101">
      <w:r>
        <w:t>本研究为探索性测量学检验，目标不是给个体打分，而是判断这套指标值不值得进入下一轮研究。样本均为已获外部认可者，无对照，故不涉及区分力与预测效度；全部判断由单一编码者完成，尚无人工双编码。</w:t>
      </w:r>
    </w:p>
    <w:p w14:paraId="6F5EE654">
      <w:pPr>
        <w:pStyle w:val="4"/>
      </w:pPr>
      <w:r>
        <w:t>2 方法</w:t>
      </w:r>
    </w:p>
    <w:p w14:paraId="04F38609">
      <w:pPr>
        <w:pStyle w:val="5"/>
      </w:pPr>
      <w:r>
        <w:t>2.1 研究对象与材料</w:t>
      </w:r>
    </w:p>
    <w:p w14:paraId="6880A3E0">
      <w:r>
        <w:t>研究对象 353 人，分两组。</w:t>
      </w:r>
    </w:p>
    <w:p w14:paraId="5BAF4DF5">
      <w:r>
        <w:rPr>
          <w:b/>
        </w:rPr>
        <w:t>获奖学生</w:t>
      </w:r>
      <w:r>
        <w:t>（*n* = 137，材料 150 篇）：校级最高荣誉答辩实录与专访、国家奖学金人物通讯、部分第一人称自述。篇幅中位 738 字（四分位距 521—1 035）。仅罗列荣誉的文本不纳入编码（6 人）。</w:t>
      </w:r>
    </w:p>
    <w:p w14:paraId="4AD033D5">
      <w:r>
        <w:rPr>
          <w:b/>
        </w:rPr>
        <w:t>诺贝尔奖得主</w:t>
      </w:r>
      <w:r>
        <w:t>（*n* = 216，材料 245 篇）：物理、化学、生理学或医学奖得主的本人自传（174 篇）与深度访谈文字稿（71 篇），排除获奖当天的电话访谈。篇幅中位 26 006 字符（四分位距 16 761—36 710）。联合访谈切分后本人发言不足最低信息量的 9 位未纳入。</w:t>
      </w:r>
    </w:p>
    <w:p w14:paraId="73630381">
      <w:r>
        <w:t>两组功能不同：学生组是目标人群，得主组是已被外部效标确认的原型参照，二者不构成创新—非创新的对照。</w:t>
      </w:r>
    </w:p>
    <w:p w14:paraId="12551481">
      <w:pPr>
        <w:pStyle w:val="5"/>
      </w:pPr>
      <w:r>
        <w:t>2.2 测量：指标与编码规则</w:t>
      </w:r>
    </w:p>
    <w:p w14:paraId="1218F704">
      <w:r>
        <w:t>指标体系含 33 项指标、六维度，其中 29 项可从文本编码；潜伏抑制、注意范围、干扰下的信息筛选、语义网络结构四项需实验任务，记为缺失（故第三维度仅余一项可编码指标）。</w:t>
      </w:r>
    </w:p>
    <w:p w14:paraId="30FEF30C">
      <w:r>
        <w:t>编码单位为人，同一人物多篇材料合并后一次判断。每项指标记为：2 = 写出了具体情境中的做法（含记者转述），1 = 仅有本人或作者的特征、意愿、态度概括，未体现则不记录。每条判断同时记录行为发生的阶段（中学及以前、本科、研究生、工作后）与一句不超过 60 字的原文引语；另记录文本类型、最高学历、学科与可分辨事件数。</w:t>
      </w:r>
    </w:p>
    <w:p w14:paraId="00A139AE">
      <w:pPr>
        <w:pStyle w:val="5"/>
      </w:pPr>
      <w:r>
        <w:t>2.3 判断的质量控制</w:t>
      </w:r>
    </w:p>
    <w:p w14:paraId="672E58C4">
      <w:r>
        <w:rPr>
          <w:b/>
        </w:rPr>
        <w:t>引语回核</w:t>
      </w:r>
      <w:r>
        <w:t>：引语须（去空白标点后）出现在所发材料中，未通过者排除。该措施排除凭空生成的证据，不保证判断本身正确。</w:t>
      </w:r>
    </w:p>
    <w:p w14:paraId="147D5EC6">
      <w:r>
        <w:rPr>
          <w:b/>
        </w:rPr>
        <w:t>共用引语标记</w:t>
      </w:r>
      <w:r>
        <w:t>：同一人物的两条判断引用相同或高度重叠的句子时予以标记，用以刻画相近指标在自然语言中难以区分的情况。</w:t>
      </w:r>
    </w:p>
    <w:p w14:paraId="2E64394C">
      <w:r>
        <w:rPr>
          <w:b/>
        </w:rPr>
        <w:t>光环效应控制</w:t>
      </w:r>
      <w:r>
        <w:t>：编码前删除只含荣誉词、不含过程或做法标记的句子。</w:t>
      </w:r>
    </w:p>
    <w:p w14:paraId="47EDFFBB">
      <w:pPr>
        <w:pStyle w:val="5"/>
      </w:pPr>
      <w:r>
        <w:t>2.4 分析策略</w:t>
      </w:r>
    </w:p>
    <w:p w14:paraId="69B02CE7">
      <w:r>
        <w:t>三条原则贯穿全文。其一，</w:t>
      </w:r>
      <w:r>
        <w:rPr>
          <w:b/>
        </w:rPr>
        <w:t>篇幅不可比的应对</w:t>
      </w:r>
      <w:r>
        <w:t>：两群体篇幅分布不重叠（学生最长 4 466 字，得主最短 6 504 字符，重叠仅 1 人），跨组比较一律使用构成比——某维度占本组全部行为证据的比例；该指标对篇幅不敏感，组内最短与最长三分位的构成秩相关为 .83（得主组）与 .99（学生组）。其二，</w:t>
      </w:r>
      <w:r>
        <w:rPr>
          <w:b/>
        </w:rPr>
        <w:t>效应量与判读门槛优先于显著性</w:t>
      </w:r>
      <w:r>
        <w:t>：比例报告 Wilson 95% 置信区间，拟合采用通行门槛（CFI/TLI ≥ .90 尚可、≥ .95 良好；RMSEA ≤ .08 可接受；SRMR ≤ .08 可接受；Hu &amp; Bentler, 1999）。其三，</w:t>
      </w:r>
      <w:r>
        <w:rPr>
          <w:b/>
        </w:rPr>
        <w:t>探索性分析明确标注</w:t>
      </w:r>
      <w:r>
        <w:t>。</w:t>
      </w:r>
    </w:p>
    <w:p w14:paraId="7A573EE1">
      <w:pPr>
        <w:pStyle w:val="4"/>
      </w:pPr>
      <w:r>
        <w:t>3 问题一：行为指标的可观测性</w:t>
      </w:r>
    </w:p>
    <w:p w14:paraId="11FFA98B">
      <w:pPr>
        <w:pStyle w:val="5"/>
      </w:pPr>
      <w:r>
        <w:t>3.1 假设</w:t>
      </w:r>
    </w:p>
    <w:p w14:paraId="259A961E">
      <w:r>
        <w:t>见 1.3 假设 1。</w:t>
      </w:r>
    </w:p>
    <w:p w14:paraId="28C334BD">
      <w:pPr>
        <w:pStyle w:val="5"/>
      </w:pPr>
      <w:r>
        <w:t>3.2 方法与分析</w:t>
      </w:r>
    </w:p>
    <w:p w14:paraId="627B962D">
      <w:r>
        <w:t>对每项指标计算各组中有行为级证据的人数比例及 Wilson 95% 置信区间，并计算"仅声明"判断占该指标全部判断的比例。此处不作跨组比例检验，理由见 2.4。</w:t>
      </w:r>
    </w:p>
    <w:p w14:paraId="2FDB34C1">
      <w:pPr>
        <w:pStyle w:val="5"/>
      </w:pPr>
      <w:r>
        <w:t>3.3 结果</w:t>
      </w:r>
    </w:p>
    <w:p w14:paraId="7ABEFE41">
      <w:r>
        <w:t xml:space="preserve">3 550 条判断中，99.0% 的引语可在材料中逐字找到，86.5% 被判为行为级；另有 </w:t>
      </w:r>
      <w:r>
        <w:rPr>
          <w:b/>
        </w:rPr>
        <w:t>46.3% 的判断与另一项指标共用同一句引语</w:t>
      </w:r>
      <w:r>
        <w:t>（完全相同者 7.0%）。这一比例是后文结构分析的重要背景：同一句话常同时承载"为什么做"与"做了什么"。</w:t>
      </w:r>
    </w:p>
    <w:p w14:paraId="1A1554D8">
      <w:r>
        <w:t>在得主组，</w:t>
      </w:r>
      <w:r>
        <w:rPr>
          <w:b/>
        </w:rPr>
        <w:t>22 项指标</w:t>
      </w:r>
      <w:r>
        <w:t>有三成以上个体出现行为级证据（图 1）。最高者为自发项目（81.0%）、持续投入（81.0%）、想法转化为可检验方案（79.6%）、自主性动机（78.7%）与求知好奇心（78.7%）；最低者为问题新颖性（4.2%）、休息后的顿悟（5.1%）、作品修改增益（5.1%）、生成与评价的调节（11.1%）与利用异议扩展策略（12.5%）。这些低观测指标的共同点是需要第三方评价、多轮修改记录或评价筛选过程，与假设 1a 一致。</w:t>
      </w:r>
    </w:p>
    <w:p w14:paraId="42D782D3">
      <w:r>
        <w:t>表态化集中于第一维度：目标自我一致性、领域身份认同、目标清晰度、自主性动机的"仅声明"比例分别为 46.8%、35.6%、25.0%、14.8%，而其余五维度最高者仅 10.2%，多数低于 3%（假设 1b 得支持）。</w:t>
      </w:r>
    </w:p>
    <w:p w14:paraId="0587E325">
      <w:pPr>
        <w:jc w:val="center"/>
      </w:pPr>
      <w:r>
        <w:drawing>
          <wp:inline distT="0" distB="0" distL="114300" distR="114300">
            <wp:extent cx="5579745" cy="6509385"/>
            <wp:effectExtent l="0" t="0" r="1333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407B">
      <w:pPr>
        <w:jc w:val="center"/>
      </w:pPr>
      <w:r>
        <w:rPr>
          <w:sz w:val="18"/>
        </w:rPr>
        <w:t>图 1　29 项指标的行为证据出现率（点为点估计，横线为诺贝尔奖得主组 95% 置信区间，菱形为获奖学生组）</w:t>
      </w:r>
    </w:p>
    <w:p w14:paraId="0DC4C1E1">
      <w:r>
        <w:t>学生组出现率整体偏低（最高为持续投入与自主性动机，均为 40.9%），主要由材料篇幅决定，不宜作能力解释。</w:t>
      </w:r>
    </w:p>
    <w:p w14:paraId="6CBF52F8">
      <w:pPr>
        <w:pStyle w:val="5"/>
      </w:pPr>
      <w:r>
        <w:t>3.4 小结</w:t>
      </w:r>
    </w:p>
    <w:p w14:paraId="67D9B708">
      <w:r>
        <w:t>约四分之三的指标在自然文本中可获得行为级证据，四分之一的指标接近不可观测，方向与动机类指标以表态为主。这为后两节划定了边界。</w:t>
      </w:r>
    </w:p>
    <w:p w14:paraId="4840762B">
      <w:pPr>
        <w:pStyle w:val="4"/>
      </w:pPr>
      <w:r>
        <w:t>4 问题二：指标的心理结构</w:t>
      </w:r>
    </w:p>
    <w:p w14:paraId="5D44118E">
      <w:pPr>
        <w:pStyle w:val="5"/>
      </w:pPr>
      <w:r>
        <w:t>4.1 假设</w:t>
      </w:r>
    </w:p>
    <w:p w14:paraId="05799FA0">
      <w:r>
        <w:t>见 1.3 假设 2a—2c。</w:t>
      </w:r>
    </w:p>
    <w:p w14:paraId="7D6B28E1">
      <w:pPr>
        <w:pStyle w:val="5"/>
      </w:pPr>
      <w:r>
        <w:t>4.2 方法与分析</w:t>
      </w:r>
    </w:p>
    <w:p w14:paraId="513DFC67">
      <w:r>
        <w:t>在得主组（*n* = 216）依次进行四项分析。</w:t>
      </w:r>
    </w:p>
    <w:p w14:paraId="5DB1EFF1">
      <w:r>
        <w:rPr>
          <w:b/>
        </w:rPr>
        <w:t>指标间相关。</w:t>
      </w:r>
      <w:r>
        <w:t xml:space="preserve"> 计算控制篇幅（对数字数）的 Spearman 偏相关，比较同维度与跨维度指标对的平均偏相关，并以 500 次维度标签随机置换得到差值的零分布（单侧检验）。</w:t>
      </w:r>
    </w:p>
    <w:p w14:paraId="417E8EE0">
      <w:r>
        <w:rPr>
          <w:b/>
        </w:rPr>
        <w:t>因子个数。</w:t>
      </w:r>
      <w:r>
        <w:t xml:space="preserve"> 采用平行分析（Horn, 1965）：以 300 组同规模随机正态数据的特征值 95 分位为门槛，保留实际特征值高于门槛的成分。因指标为二分变量，另用近似四分相关（Olsson, 1979）重做一次作为敏感性检验。</w:t>
      </w:r>
    </w:p>
    <w:p w14:paraId="7977FE6D">
      <w:r>
        <w:rPr>
          <w:b/>
        </w:rPr>
        <w:t>因素分析。</w:t>
      </w:r>
      <w:r>
        <w:t xml:space="preserve"> 以主轴因子法（共同度迭代替换对角线）加方差极大旋转提取因子，因子数取平行分析结果；随后以最大似然估计单因子、两因子（第一与第六维度合为"方向—投入"，其余合为"问题—求解"）与六因子三个验证性模型，设定因子方差为 1、载荷自由（限 ±.95）、残差独立、因子相关自由，单指标维度按载荷固定 1、残差 0 处理，报告 χ²、df、CFI、TLI、RMSEA、SRMR、AIC 与 BIC。单因子与两因子嵌套，可用 Δχ² 检验；两因子与六因子不嵌套，只比较信息准则。</w:t>
      </w:r>
    </w:p>
    <w:p w14:paraId="4691AB8D">
      <w:r>
        <w:rPr>
          <w:b/>
        </w:rPr>
        <w:t>内部一致性。</w:t>
      </w:r>
      <w:r>
        <w:t xml:space="preserve"> 同时报告 Cronbach α 与 McDonald ω（ω = (Σλ)² / [(Σλ)² + Σ(1 − λ²)]；McDonald, 1999），两者接近说明该维度近似单维且载荷均匀。</w:t>
      </w:r>
    </w:p>
    <w:p w14:paraId="4BE9E708">
      <w:pPr>
        <w:pStyle w:val="5"/>
      </w:pPr>
      <w:r>
        <w:t>4.3 结果</w:t>
      </w:r>
    </w:p>
    <w:p w14:paraId="2DE110C0">
      <w:r>
        <w:rPr>
          <w:b/>
        </w:rPr>
        <w:t>相关层面。</w:t>
      </w:r>
      <w:r>
        <w:t xml:space="preserve"> 同维度指标平均偏相关 .105，跨维度 .081，差值 .024，置换检验 *p* = .020。方向符合假设 2a，但效应微弱，约为典型同维相关的四分之一。</w:t>
      </w:r>
    </w:p>
    <w:p w14:paraId="3182397C">
      <w:r>
        <w:rPr>
          <w:b/>
        </w:rPr>
        <w:t>因子个数。</w:t>
      </w:r>
      <w:r>
        <w:t xml:space="preserve"> 平行分析给出不一致结果（图 2）：以 Pearson 相关计算时前三个特征值为 4.80、2.03、1.48，门槛为 1.85、1.72、1.61，保留 </w:t>
      </w:r>
      <w:r>
        <w:rPr>
          <w:b/>
        </w:rPr>
        <w:t>2</w:t>
      </w:r>
      <w:r>
        <w:t xml:space="preserve"> 个因子；以四分相关计算时前三个为 8.82、3.99、2.50，均高于门槛，保留 </w:t>
      </w:r>
      <w:r>
        <w:rPr>
          <w:b/>
        </w:rPr>
        <w:t>8</w:t>
      </w:r>
      <w:r>
        <w:t xml:space="preserve"> 个。学生组同样不一致（4 个与 6 个）。二分变量的 Pearson 相关因人为二分而衰减，倾向低估；四分相关在边际比例极端时估计不稳定，倾向高估。二者一低一高，说明在这批数据上因子个数本身不是稳健可估的量，故以下按较保守的 2 因子提取，同时报告 2 因子与 6 因子模型。</w:t>
      </w:r>
    </w:p>
    <w:p w14:paraId="359AAEB8">
      <w:pPr>
        <w:jc w:val="center"/>
      </w:pPr>
      <w:r>
        <w:drawing>
          <wp:inline distT="0" distB="0" distL="114300" distR="114300">
            <wp:extent cx="5579745" cy="3779520"/>
            <wp:effectExtent l="0" t="0" r="133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E777">
      <w:pPr>
        <w:jc w:val="center"/>
      </w:pPr>
      <w:r>
        <w:rPr>
          <w:sz w:val="18"/>
        </w:rPr>
        <w:t>图 2　碎石图与平行分析（诺贝尔奖得主组，*n* = 216）：实线为实际数据特征值，虚线为随机数据 95 分位门槛</w:t>
      </w:r>
    </w:p>
    <w:p w14:paraId="6E969F7B">
      <w:r>
        <w:rPr>
          <w:b/>
        </w:rPr>
        <w:t>因素结构。</w:t>
      </w:r>
      <w:r>
        <w:t xml:space="preserve"> 2 因子解可清楚解释（表 1）：第一因子由问题重新表征、根据反证更新判断、自发提问、突破定势、知识缺口敏感性与隐藏规律发现主导，可命名为"问题发现与求解"；第二因子由目标清晰度、目标自我一致性、领域身份认同、自主性动机、目标与选择一致、自发项目与持续投入主导，可命名为"方向、动机与投入"。两成分分别解释 13.2% 与 6.9% 的方差。这两个因子</w:t>
      </w:r>
      <w:r>
        <w:rPr>
          <w:b/>
        </w:rPr>
        <w:t>跨越了原有六维度</w:t>
      </w:r>
      <w:r>
        <w:t>：第一因子汇总了第二至第五维度中的问题类指标，第二因子汇总了第一与第六维度中的方向投入类指标；层次聚类在二分类解下亦未复现六维结构。</w:t>
      </w:r>
    </w:p>
    <w:p w14:paraId="050905C2">
      <w:r>
        <w:t>表 1　两因子解的主要载荷（得主组，控制篇幅）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7B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BEB23">
            <w:pPr>
              <w:spacing w:after="0" w:line="240" w:lineRule="auto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880" w:type="dxa"/>
          </w:tcPr>
          <w:p w14:paraId="3F5C2B99">
            <w:pPr>
              <w:spacing w:after="0" w:line="240" w:lineRule="auto"/>
            </w:pPr>
            <w:r>
              <w:rPr>
                <w:b/>
                <w:sz w:val="18"/>
              </w:rPr>
              <w:t>高载荷指标（载荷）</w:t>
            </w:r>
          </w:p>
        </w:tc>
        <w:tc>
          <w:tcPr>
            <w:tcW w:w="2880" w:type="dxa"/>
          </w:tcPr>
          <w:p w14:paraId="61EC1BD2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8E3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96FEB">
            <w:pPr>
              <w:spacing w:after="0" w:line="240" w:lineRule="auto"/>
            </w:pPr>
            <w:r>
              <w:rPr>
                <w:sz w:val="18"/>
              </w:rPr>
              <w:t>问题发现与求解</w:t>
            </w:r>
          </w:p>
        </w:tc>
        <w:tc>
          <w:tcPr>
            <w:tcW w:w="2880" w:type="dxa"/>
          </w:tcPr>
          <w:p w14:paraId="0B356251">
            <w:pPr>
              <w:spacing w:after="0" w:line="240" w:lineRule="auto"/>
            </w:pPr>
            <w:r>
              <w:rPr>
                <w:sz w:val="18"/>
              </w:rPr>
              <w:t>问题重新表征（.63）、根据反证更新判断（.57）、自发提问（.56）、突破定势（.54）、知识缺口敏感性（.47）、隐藏规律发现（.46）</w:t>
            </w:r>
          </w:p>
        </w:tc>
        <w:tc>
          <w:tcPr>
            <w:tcW w:w="2880" w:type="dxa"/>
          </w:tcPr>
          <w:p w14:paraId="2602CD08">
            <w:pPr>
              <w:spacing w:after="0" w:line="240" w:lineRule="auto"/>
            </w:pPr>
            <w:r>
              <w:rPr>
                <w:sz w:val="18"/>
              </w:rPr>
              <w:t>发现、重构、验证</w:t>
            </w:r>
          </w:p>
        </w:tc>
      </w:tr>
      <w:tr w14:paraId="5B9A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37FE0">
            <w:pPr>
              <w:spacing w:after="0" w:line="240" w:lineRule="auto"/>
            </w:pPr>
            <w:r>
              <w:rPr>
                <w:sz w:val="18"/>
              </w:rPr>
              <w:t>方向、动机与投入</w:t>
            </w:r>
          </w:p>
        </w:tc>
        <w:tc>
          <w:tcPr>
            <w:tcW w:w="2880" w:type="dxa"/>
          </w:tcPr>
          <w:p w14:paraId="5EC7E35C">
            <w:pPr>
              <w:spacing w:after="0" w:line="240" w:lineRule="auto"/>
            </w:pPr>
            <w:r>
              <w:rPr>
                <w:sz w:val="18"/>
              </w:rPr>
              <w:t>目标清晰度（−.54）、目标自我一致性（−.45）、领域身份认同（−.44）、自主性动机（−.43）、目标与选择一致（−.37）、自发项目（−.33）、持续投入（−.30）</w:t>
            </w:r>
          </w:p>
        </w:tc>
        <w:tc>
          <w:tcPr>
            <w:tcW w:w="2880" w:type="dxa"/>
          </w:tcPr>
          <w:p w14:paraId="66808DF2">
            <w:pPr>
              <w:spacing w:after="0" w:line="240" w:lineRule="auto"/>
            </w:pPr>
            <w:r>
              <w:rPr>
                <w:sz w:val="18"/>
              </w:rPr>
              <w:t>为什么做、坚持做</w:t>
            </w:r>
          </w:p>
        </w:tc>
      </w:tr>
    </w:tbl>
    <w:p w14:paraId="53D41861"/>
    <w:p w14:paraId="441C1A87">
      <w:r>
        <w:rPr>
          <w:b/>
        </w:rPr>
        <w:t>模型比较。</w:t>
      </w:r>
      <w:r>
        <w:t xml:space="preserve"> 两因子显著优于单因子（Δχ² = 11.46，Δdf = 1，*p* &lt; .001），支持"至少两个可区分内容簇"。六因子在 AIC（647.2）与 RMSEA（.042）上最优，但 BIC 反偏好两因子（883.5 对 886.9）；三个模型 CFI 均低于 .90（六因子 .812），无一达到可接受水平（表 2）。学生组整体更差（六因子 CFI = .672）。</w:t>
      </w:r>
    </w:p>
    <w:p w14:paraId="3DA84F86">
      <w:r>
        <w:t>表 2　三个验证性因素模型的拟合指标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2580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DF16119">
            <w:pPr>
              <w:spacing w:after="0" w:line="240" w:lineRule="auto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w="960" w:type="dxa"/>
          </w:tcPr>
          <w:p w14:paraId="4CB3B5FE">
            <w:pPr>
              <w:spacing w:after="0" w:line="240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960" w:type="dxa"/>
          </w:tcPr>
          <w:p w14:paraId="139E2506">
            <w:pPr>
              <w:spacing w:after="0" w:line="240" w:lineRule="auto"/>
            </w:pPr>
            <w:r>
              <w:rPr>
                <w:b/>
                <w:sz w:val="18"/>
              </w:rPr>
              <w:t>χ²</w:t>
            </w:r>
          </w:p>
        </w:tc>
        <w:tc>
          <w:tcPr>
            <w:tcW w:w="960" w:type="dxa"/>
          </w:tcPr>
          <w:p w14:paraId="68A37AF3">
            <w:pPr>
              <w:spacing w:after="0" w:line="240" w:lineRule="auto"/>
            </w:pPr>
            <w:r>
              <w:rPr>
                <w:b/>
                <w:sz w:val="18"/>
              </w:rPr>
              <w:t>df</w:t>
            </w:r>
          </w:p>
        </w:tc>
        <w:tc>
          <w:tcPr>
            <w:tcW w:w="960" w:type="dxa"/>
          </w:tcPr>
          <w:p w14:paraId="118D19F2">
            <w:pPr>
              <w:spacing w:after="0" w:line="240" w:lineRule="auto"/>
            </w:pPr>
            <w:r>
              <w:rPr>
                <w:b/>
                <w:sz w:val="18"/>
              </w:rPr>
              <w:t>CFI</w:t>
            </w:r>
          </w:p>
        </w:tc>
        <w:tc>
          <w:tcPr>
            <w:tcW w:w="960" w:type="dxa"/>
          </w:tcPr>
          <w:p w14:paraId="7436AEF9">
            <w:pPr>
              <w:spacing w:after="0" w:line="240" w:lineRule="auto"/>
            </w:pPr>
            <w:r>
              <w:rPr>
                <w:b/>
                <w:sz w:val="18"/>
              </w:rPr>
              <w:t>TLI</w:t>
            </w:r>
          </w:p>
        </w:tc>
        <w:tc>
          <w:tcPr>
            <w:tcW w:w="960" w:type="dxa"/>
          </w:tcPr>
          <w:p w14:paraId="5C395A8C">
            <w:pPr>
              <w:spacing w:after="0" w:line="240" w:lineRule="auto"/>
            </w:pPr>
            <w:r>
              <w:rPr>
                <w:b/>
                <w:sz w:val="18"/>
              </w:rPr>
              <w:t>RMSEA</w:t>
            </w:r>
          </w:p>
        </w:tc>
        <w:tc>
          <w:tcPr>
            <w:tcW w:w="960" w:type="dxa"/>
          </w:tcPr>
          <w:p w14:paraId="368585E4">
            <w:pPr>
              <w:spacing w:after="0" w:line="240" w:lineRule="auto"/>
            </w:pPr>
            <w:r>
              <w:rPr>
                <w:b/>
                <w:sz w:val="18"/>
              </w:rPr>
              <w:t>SRMR</w:t>
            </w:r>
          </w:p>
        </w:tc>
        <w:tc>
          <w:tcPr>
            <w:tcW w:w="960" w:type="dxa"/>
          </w:tcPr>
          <w:p w14:paraId="73222F39">
            <w:pPr>
              <w:spacing w:after="0" w:line="240" w:lineRule="auto"/>
            </w:pPr>
            <w:r>
              <w:rPr>
                <w:b/>
                <w:sz w:val="18"/>
              </w:rPr>
              <w:t>BIC</w:t>
            </w:r>
          </w:p>
        </w:tc>
      </w:tr>
      <w:tr w14:paraId="036E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605200C">
            <w:pPr>
              <w:spacing w:after="0" w:line="240" w:lineRule="auto"/>
            </w:pPr>
            <w:r>
              <w:rPr>
                <w:sz w:val="18"/>
              </w:rPr>
              <w:t>得主组（*n* = 216）</w:t>
            </w:r>
          </w:p>
        </w:tc>
        <w:tc>
          <w:tcPr>
            <w:tcW w:w="960" w:type="dxa"/>
          </w:tcPr>
          <w:p w14:paraId="41E303B0">
            <w:pPr>
              <w:spacing w:after="0" w:line="240" w:lineRule="auto"/>
            </w:pPr>
            <w:r>
              <w:rPr>
                <w:sz w:val="18"/>
              </w:rPr>
              <w:t>单因子</w:t>
            </w:r>
          </w:p>
        </w:tc>
        <w:tc>
          <w:tcPr>
            <w:tcW w:w="960" w:type="dxa"/>
          </w:tcPr>
          <w:p w14:paraId="3FE24BDA">
            <w:pPr>
              <w:spacing w:after="0" w:line="240" w:lineRule="auto"/>
            </w:pPr>
            <w:r>
              <w:rPr>
                <w:sz w:val="18"/>
              </w:rPr>
              <w:t>577.84</w:t>
            </w:r>
          </w:p>
        </w:tc>
        <w:tc>
          <w:tcPr>
            <w:tcW w:w="960" w:type="dxa"/>
          </w:tcPr>
          <w:p w14:paraId="5844FC43">
            <w:pPr>
              <w:spacing w:after="0" w:line="240" w:lineRule="auto"/>
            </w:pPr>
            <w:r>
              <w:rPr>
                <w:sz w:val="18"/>
              </w:rPr>
              <w:t>377</w:t>
            </w:r>
          </w:p>
        </w:tc>
        <w:tc>
          <w:tcPr>
            <w:tcW w:w="960" w:type="dxa"/>
          </w:tcPr>
          <w:p w14:paraId="6F639F98">
            <w:pPr>
              <w:spacing w:after="0" w:line="240" w:lineRule="auto"/>
            </w:pPr>
            <w:r>
              <w:rPr>
                <w:sz w:val="18"/>
              </w:rPr>
              <w:t>.733</w:t>
            </w:r>
          </w:p>
        </w:tc>
        <w:tc>
          <w:tcPr>
            <w:tcW w:w="960" w:type="dxa"/>
          </w:tcPr>
          <w:p w14:paraId="1C5564E8">
            <w:pPr>
              <w:spacing w:after="0" w:line="240" w:lineRule="auto"/>
            </w:pPr>
            <w:r>
              <w:rPr>
                <w:sz w:val="18"/>
              </w:rPr>
              <w:t>.712</w:t>
            </w:r>
          </w:p>
        </w:tc>
        <w:tc>
          <w:tcPr>
            <w:tcW w:w="960" w:type="dxa"/>
          </w:tcPr>
          <w:p w14:paraId="7D19B541">
            <w:pPr>
              <w:spacing w:after="0" w:line="240" w:lineRule="auto"/>
            </w:pPr>
            <w:r>
              <w:rPr>
                <w:sz w:val="18"/>
              </w:rPr>
              <w:t>.050</w:t>
            </w:r>
          </w:p>
        </w:tc>
        <w:tc>
          <w:tcPr>
            <w:tcW w:w="960" w:type="dxa"/>
          </w:tcPr>
          <w:p w14:paraId="0C801A31">
            <w:pPr>
              <w:spacing w:after="0" w:line="240" w:lineRule="auto"/>
            </w:pPr>
            <w:r>
              <w:rPr>
                <w:sz w:val="18"/>
              </w:rPr>
              <w:t>.071</w:t>
            </w:r>
          </w:p>
        </w:tc>
        <w:tc>
          <w:tcPr>
            <w:tcW w:w="960" w:type="dxa"/>
          </w:tcPr>
          <w:p w14:paraId="0EF0CB64">
            <w:pPr>
              <w:spacing w:after="0" w:line="240" w:lineRule="auto"/>
            </w:pPr>
            <w:r>
              <w:rPr>
                <w:sz w:val="18"/>
              </w:rPr>
              <w:t>889.6</w:t>
            </w:r>
          </w:p>
        </w:tc>
      </w:tr>
      <w:tr w14:paraId="2C9B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1B4AFF9">
            <w:pPr>
              <w:spacing w:after="0" w:line="240" w:lineRule="auto"/>
            </w:pPr>
          </w:p>
        </w:tc>
        <w:tc>
          <w:tcPr>
            <w:tcW w:w="960" w:type="dxa"/>
          </w:tcPr>
          <w:p w14:paraId="47C752E5">
            <w:pPr>
              <w:spacing w:after="0" w:line="240" w:lineRule="auto"/>
            </w:pPr>
            <w:r>
              <w:rPr>
                <w:sz w:val="18"/>
              </w:rPr>
              <w:t>两因子</w:t>
            </w:r>
          </w:p>
        </w:tc>
        <w:tc>
          <w:tcPr>
            <w:tcW w:w="960" w:type="dxa"/>
          </w:tcPr>
          <w:p w14:paraId="205364F8">
            <w:pPr>
              <w:spacing w:after="0" w:line="240" w:lineRule="auto"/>
            </w:pPr>
            <w:r>
              <w:rPr>
                <w:sz w:val="18"/>
              </w:rPr>
              <w:t>566.38</w:t>
            </w:r>
          </w:p>
        </w:tc>
        <w:tc>
          <w:tcPr>
            <w:tcW w:w="960" w:type="dxa"/>
          </w:tcPr>
          <w:p w14:paraId="6C564FE0">
            <w:pPr>
              <w:spacing w:after="0" w:line="240" w:lineRule="auto"/>
            </w:pPr>
            <w:r>
              <w:rPr>
                <w:sz w:val="18"/>
              </w:rPr>
              <w:t>376</w:t>
            </w:r>
          </w:p>
        </w:tc>
        <w:tc>
          <w:tcPr>
            <w:tcW w:w="960" w:type="dxa"/>
          </w:tcPr>
          <w:p w14:paraId="1D06D256">
            <w:pPr>
              <w:spacing w:after="0" w:line="240" w:lineRule="auto"/>
            </w:pPr>
            <w:r>
              <w:rPr>
                <w:sz w:val="18"/>
              </w:rPr>
              <w:t>.747</w:t>
            </w:r>
          </w:p>
        </w:tc>
        <w:tc>
          <w:tcPr>
            <w:tcW w:w="960" w:type="dxa"/>
          </w:tcPr>
          <w:p w14:paraId="48500ECC">
            <w:pPr>
              <w:spacing w:after="0" w:line="240" w:lineRule="auto"/>
            </w:pPr>
            <w:r>
              <w:rPr>
                <w:sz w:val="18"/>
              </w:rPr>
              <w:t>.726</w:t>
            </w:r>
          </w:p>
        </w:tc>
        <w:tc>
          <w:tcPr>
            <w:tcW w:w="960" w:type="dxa"/>
          </w:tcPr>
          <w:p w14:paraId="6E5572B7">
            <w:pPr>
              <w:spacing w:after="0" w:line="240" w:lineRule="auto"/>
            </w:pPr>
            <w:r>
              <w:rPr>
                <w:sz w:val="18"/>
              </w:rPr>
              <w:t>.049</w:t>
            </w:r>
          </w:p>
        </w:tc>
        <w:tc>
          <w:tcPr>
            <w:tcW w:w="960" w:type="dxa"/>
          </w:tcPr>
          <w:p w14:paraId="5D1EA17F">
            <w:pPr>
              <w:spacing w:after="0" w:line="240" w:lineRule="auto"/>
            </w:pPr>
            <w:r>
              <w:rPr>
                <w:sz w:val="18"/>
              </w:rPr>
              <w:t>.071</w:t>
            </w:r>
          </w:p>
        </w:tc>
        <w:tc>
          <w:tcPr>
            <w:tcW w:w="960" w:type="dxa"/>
          </w:tcPr>
          <w:p w14:paraId="79333696">
            <w:pPr>
              <w:spacing w:after="0" w:line="240" w:lineRule="auto"/>
            </w:pPr>
            <w:r>
              <w:rPr>
                <w:sz w:val="18"/>
              </w:rPr>
              <w:t>883.5</w:t>
            </w:r>
          </w:p>
        </w:tc>
      </w:tr>
      <w:tr w14:paraId="534F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B1574D5">
            <w:pPr>
              <w:spacing w:after="0" w:line="240" w:lineRule="auto"/>
            </w:pPr>
          </w:p>
        </w:tc>
        <w:tc>
          <w:tcPr>
            <w:tcW w:w="960" w:type="dxa"/>
          </w:tcPr>
          <w:p w14:paraId="5838B0DF">
            <w:pPr>
              <w:spacing w:after="0" w:line="240" w:lineRule="auto"/>
            </w:pPr>
            <w:r>
              <w:rPr>
                <w:sz w:val="18"/>
              </w:rPr>
              <w:t>六因子</w:t>
            </w:r>
          </w:p>
        </w:tc>
        <w:tc>
          <w:tcPr>
            <w:tcW w:w="960" w:type="dxa"/>
          </w:tcPr>
          <w:p w14:paraId="078982A5">
            <w:pPr>
              <w:spacing w:after="0" w:line="240" w:lineRule="auto"/>
            </w:pPr>
            <w:r>
              <w:rPr>
                <w:sz w:val="18"/>
              </w:rPr>
              <w:t>505.21</w:t>
            </w:r>
          </w:p>
        </w:tc>
        <w:tc>
          <w:tcPr>
            <w:tcW w:w="960" w:type="dxa"/>
          </w:tcPr>
          <w:p w14:paraId="1F21DEE8">
            <w:pPr>
              <w:spacing w:after="0" w:line="240" w:lineRule="auto"/>
            </w:pPr>
            <w:r>
              <w:rPr>
                <w:sz w:val="18"/>
              </w:rPr>
              <w:t>364</w:t>
            </w:r>
          </w:p>
        </w:tc>
        <w:tc>
          <w:tcPr>
            <w:tcW w:w="960" w:type="dxa"/>
          </w:tcPr>
          <w:p w14:paraId="583757D0">
            <w:pPr>
              <w:spacing w:after="0" w:line="240" w:lineRule="auto"/>
            </w:pPr>
            <w:r>
              <w:rPr>
                <w:sz w:val="18"/>
              </w:rPr>
              <w:t>.812</w:t>
            </w:r>
          </w:p>
        </w:tc>
        <w:tc>
          <w:tcPr>
            <w:tcW w:w="960" w:type="dxa"/>
          </w:tcPr>
          <w:p w14:paraId="6203EB49">
            <w:pPr>
              <w:spacing w:after="0" w:line="240" w:lineRule="auto"/>
            </w:pPr>
            <w:r>
              <w:rPr>
                <w:sz w:val="18"/>
              </w:rPr>
              <w:t>.790</w:t>
            </w:r>
          </w:p>
        </w:tc>
        <w:tc>
          <w:tcPr>
            <w:tcW w:w="960" w:type="dxa"/>
          </w:tcPr>
          <w:p w14:paraId="07C622B3">
            <w:pPr>
              <w:spacing w:after="0" w:line="240" w:lineRule="auto"/>
            </w:pPr>
            <w:r>
              <w:rPr>
                <w:sz w:val="18"/>
              </w:rPr>
              <w:t>.042</w:t>
            </w:r>
          </w:p>
        </w:tc>
        <w:tc>
          <w:tcPr>
            <w:tcW w:w="960" w:type="dxa"/>
          </w:tcPr>
          <w:p w14:paraId="5804F76F">
            <w:pPr>
              <w:spacing w:after="0" w:line="240" w:lineRule="auto"/>
            </w:pPr>
            <w:r>
              <w:rPr>
                <w:sz w:val="18"/>
              </w:rPr>
              <w:t>.067</w:t>
            </w:r>
          </w:p>
        </w:tc>
        <w:tc>
          <w:tcPr>
            <w:tcW w:w="960" w:type="dxa"/>
          </w:tcPr>
          <w:p w14:paraId="6EEB64DD">
            <w:pPr>
              <w:spacing w:after="0" w:line="240" w:lineRule="auto"/>
            </w:pPr>
            <w:r>
              <w:rPr>
                <w:sz w:val="18"/>
              </w:rPr>
              <w:t>886.9</w:t>
            </w:r>
          </w:p>
        </w:tc>
      </w:tr>
      <w:tr w14:paraId="08CE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896DB29">
            <w:pPr>
              <w:spacing w:after="0" w:line="240" w:lineRule="auto"/>
            </w:pPr>
            <w:r>
              <w:rPr>
                <w:sz w:val="18"/>
              </w:rPr>
              <w:t>学生组（*n* = 137）</w:t>
            </w:r>
          </w:p>
        </w:tc>
        <w:tc>
          <w:tcPr>
            <w:tcW w:w="960" w:type="dxa"/>
          </w:tcPr>
          <w:p w14:paraId="04078529">
            <w:pPr>
              <w:spacing w:after="0" w:line="240" w:lineRule="auto"/>
            </w:pPr>
            <w:r>
              <w:rPr>
                <w:sz w:val="18"/>
              </w:rPr>
              <w:t>单因子</w:t>
            </w:r>
          </w:p>
        </w:tc>
        <w:tc>
          <w:tcPr>
            <w:tcW w:w="960" w:type="dxa"/>
          </w:tcPr>
          <w:p w14:paraId="077E020A">
            <w:pPr>
              <w:spacing w:after="0" w:line="240" w:lineRule="auto"/>
            </w:pPr>
            <w:r>
              <w:rPr>
                <w:sz w:val="18"/>
              </w:rPr>
              <w:t>402.86</w:t>
            </w:r>
          </w:p>
        </w:tc>
        <w:tc>
          <w:tcPr>
            <w:tcW w:w="960" w:type="dxa"/>
          </w:tcPr>
          <w:p w14:paraId="1F1D7798">
            <w:pPr>
              <w:spacing w:after="0" w:line="240" w:lineRule="auto"/>
            </w:pPr>
            <w:r>
              <w:rPr>
                <w:sz w:val="18"/>
              </w:rPr>
              <w:t>170</w:t>
            </w:r>
          </w:p>
        </w:tc>
        <w:tc>
          <w:tcPr>
            <w:tcW w:w="960" w:type="dxa"/>
          </w:tcPr>
          <w:p w14:paraId="493ACBF8">
            <w:pPr>
              <w:spacing w:after="0" w:line="240" w:lineRule="auto"/>
            </w:pPr>
            <w:r>
              <w:rPr>
                <w:sz w:val="18"/>
              </w:rPr>
              <w:t>.448</w:t>
            </w:r>
          </w:p>
        </w:tc>
        <w:tc>
          <w:tcPr>
            <w:tcW w:w="960" w:type="dxa"/>
          </w:tcPr>
          <w:p w14:paraId="4DDF4F88">
            <w:pPr>
              <w:spacing w:after="0" w:line="240" w:lineRule="auto"/>
            </w:pPr>
            <w:r>
              <w:rPr>
                <w:sz w:val="18"/>
              </w:rPr>
              <w:t>.383</w:t>
            </w:r>
          </w:p>
        </w:tc>
        <w:tc>
          <w:tcPr>
            <w:tcW w:w="960" w:type="dxa"/>
          </w:tcPr>
          <w:p w14:paraId="62FB1689">
            <w:pPr>
              <w:spacing w:after="0" w:line="240" w:lineRule="auto"/>
            </w:pPr>
            <w:r>
              <w:rPr>
                <w:sz w:val="18"/>
              </w:rPr>
              <w:t>.100</w:t>
            </w:r>
          </w:p>
        </w:tc>
        <w:tc>
          <w:tcPr>
            <w:tcW w:w="960" w:type="dxa"/>
          </w:tcPr>
          <w:p w14:paraId="2CBEB5A5">
            <w:pPr>
              <w:spacing w:after="0" w:line="240" w:lineRule="auto"/>
            </w:pPr>
            <w:r>
              <w:rPr>
                <w:sz w:val="18"/>
              </w:rPr>
              <w:t>.110</w:t>
            </w:r>
          </w:p>
        </w:tc>
        <w:tc>
          <w:tcPr>
            <w:tcW w:w="960" w:type="dxa"/>
          </w:tcPr>
          <w:p w14:paraId="471D0C83">
            <w:pPr>
              <w:spacing w:after="0" w:line="240" w:lineRule="auto"/>
            </w:pPr>
            <w:r>
              <w:rPr>
                <w:sz w:val="18"/>
              </w:rPr>
              <w:t>599.7</w:t>
            </w:r>
          </w:p>
        </w:tc>
      </w:tr>
      <w:tr w14:paraId="48F5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5D2278E">
            <w:pPr>
              <w:spacing w:after="0" w:line="240" w:lineRule="auto"/>
            </w:pPr>
          </w:p>
        </w:tc>
        <w:tc>
          <w:tcPr>
            <w:tcW w:w="960" w:type="dxa"/>
          </w:tcPr>
          <w:p w14:paraId="7A782257">
            <w:pPr>
              <w:spacing w:after="0" w:line="240" w:lineRule="auto"/>
            </w:pPr>
            <w:r>
              <w:rPr>
                <w:sz w:val="18"/>
              </w:rPr>
              <w:t>两因子</w:t>
            </w:r>
          </w:p>
        </w:tc>
        <w:tc>
          <w:tcPr>
            <w:tcW w:w="960" w:type="dxa"/>
          </w:tcPr>
          <w:p w14:paraId="70AF7EF3">
            <w:pPr>
              <w:spacing w:after="0" w:line="240" w:lineRule="auto"/>
            </w:pPr>
            <w:r>
              <w:rPr>
                <w:sz w:val="18"/>
              </w:rPr>
              <w:t>387.56</w:t>
            </w:r>
          </w:p>
        </w:tc>
        <w:tc>
          <w:tcPr>
            <w:tcW w:w="960" w:type="dxa"/>
          </w:tcPr>
          <w:p w14:paraId="7071BD32">
            <w:pPr>
              <w:spacing w:after="0" w:line="240" w:lineRule="auto"/>
            </w:pPr>
            <w:r>
              <w:rPr>
                <w:sz w:val="18"/>
              </w:rPr>
              <w:t>169</w:t>
            </w:r>
          </w:p>
        </w:tc>
        <w:tc>
          <w:tcPr>
            <w:tcW w:w="960" w:type="dxa"/>
          </w:tcPr>
          <w:p w14:paraId="059A02B3">
            <w:pPr>
              <w:spacing w:after="0" w:line="240" w:lineRule="auto"/>
            </w:pPr>
            <w:r>
              <w:rPr>
                <w:sz w:val="18"/>
              </w:rPr>
              <w:t>.482</w:t>
            </w:r>
          </w:p>
        </w:tc>
        <w:tc>
          <w:tcPr>
            <w:tcW w:w="960" w:type="dxa"/>
          </w:tcPr>
          <w:p w14:paraId="593163B7">
            <w:pPr>
              <w:spacing w:after="0" w:line="240" w:lineRule="auto"/>
            </w:pPr>
            <w:r>
              <w:rPr>
                <w:sz w:val="18"/>
              </w:rPr>
              <w:t>.418</w:t>
            </w:r>
          </w:p>
        </w:tc>
        <w:tc>
          <w:tcPr>
            <w:tcW w:w="960" w:type="dxa"/>
          </w:tcPr>
          <w:p w14:paraId="179F7934">
            <w:pPr>
              <w:spacing w:after="0" w:line="240" w:lineRule="auto"/>
            </w:pPr>
            <w:r>
              <w:rPr>
                <w:sz w:val="18"/>
              </w:rPr>
              <w:t>.098</w:t>
            </w:r>
          </w:p>
        </w:tc>
        <w:tc>
          <w:tcPr>
            <w:tcW w:w="960" w:type="dxa"/>
          </w:tcPr>
          <w:p w14:paraId="436CD50B">
            <w:pPr>
              <w:spacing w:after="0" w:line="240" w:lineRule="auto"/>
            </w:pPr>
            <w:r>
              <w:rPr>
                <w:sz w:val="18"/>
              </w:rPr>
              <w:t>.115</w:t>
            </w:r>
          </w:p>
        </w:tc>
        <w:tc>
          <w:tcPr>
            <w:tcW w:w="960" w:type="dxa"/>
          </w:tcPr>
          <w:p w14:paraId="3C566D09">
            <w:pPr>
              <w:spacing w:after="0" w:line="240" w:lineRule="auto"/>
            </w:pPr>
            <w:r>
              <w:rPr>
                <w:sz w:val="18"/>
              </w:rPr>
              <w:t>589.3</w:t>
            </w:r>
          </w:p>
        </w:tc>
      </w:tr>
      <w:tr w14:paraId="037E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33D9465">
            <w:pPr>
              <w:spacing w:after="0" w:line="240" w:lineRule="auto"/>
            </w:pPr>
          </w:p>
        </w:tc>
        <w:tc>
          <w:tcPr>
            <w:tcW w:w="960" w:type="dxa"/>
          </w:tcPr>
          <w:p w14:paraId="6787E3E5">
            <w:pPr>
              <w:spacing w:after="0" w:line="240" w:lineRule="auto"/>
            </w:pPr>
            <w:r>
              <w:rPr>
                <w:sz w:val="18"/>
              </w:rPr>
              <w:t>六因子</w:t>
            </w:r>
          </w:p>
        </w:tc>
        <w:tc>
          <w:tcPr>
            <w:tcW w:w="960" w:type="dxa"/>
          </w:tcPr>
          <w:p w14:paraId="58ECB44F">
            <w:pPr>
              <w:spacing w:after="0" w:line="240" w:lineRule="auto"/>
            </w:pPr>
            <w:r>
              <w:rPr>
                <w:sz w:val="18"/>
              </w:rPr>
              <w:t>295.40</w:t>
            </w:r>
          </w:p>
        </w:tc>
        <w:tc>
          <w:tcPr>
            <w:tcW w:w="960" w:type="dxa"/>
          </w:tcPr>
          <w:p w14:paraId="32A7CF60">
            <w:pPr>
              <w:spacing w:after="0" w:line="240" w:lineRule="auto"/>
            </w:pPr>
            <w:r>
              <w:rPr>
                <w:sz w:val="18"/>
              </w:rPr>
              <w:t>157</w:t>
            </w:r>
          </w:p>
        </w:tc>
        <w:tc>
          <w:tcPr>
            <w:tcW w:w="960" w:type="dxa"/>
          </w:tcPr>
          <w:p w14:paraId="12C77D64">
            <w:pPr>
              <w:spacing w:after="0" w:line="240" w:lineRule="auto"/>
            </w:pPr>
            <w:r>
              <w:rPr>
                <w:sz w:val="18"/>
              </w:rPr>
              <w:t>.672</w:t>
            </w:r>
          </w:p>
        </w:tc>
        <w:tc>
          <w:tcPr>
            <w:tcW w:w="960" w:type="dxa"/>
          </w:tcPr>
          <w:p w14:paraId="6785C39D">
            <w:pPr>
              <w:spacing w:after="0" w:line="240" w:lineRule="auto"/>
            </w:pPr>
            <w:r>
              <w:rPr>
                <w:sz w:val="18"/>
              </w:rPr>
              <w:t>.603</w:t>
            </w:r>
          </w:p>
        </w:tc>
        <w:tc>
          <w:tcPr>
            <w:tcW w:w="960" w:type="dxa"/>
          </w:tcPr>
          <w:p w14:paraId="278596D6">
            <w:pPr>
              <w:spacing w:after="0" w:line="240" w:lineRule="auto"/>
            </w:pPr>
            <w:r>
              <w:rPr>
                <w:sz w:val="18"/>
              </w:rPr>
              <w:t>.081</w:t>
            </w:r>
          </w:p>
        </w:tc>
        <w:tc>
          <w:tcPr>
            <w:tcW w:w="960" w:type="dxa"/>
          </w:tcPr>
          <w:p w14:paraId="5A9BCF03">
            <w:pPr>
              <w:spacing w:after="0" w:line="240" w:lineRule="auto"/>
            </w:pPr>
            <w:r>
              <w:rPr>
                <w:sz w:val="18"/>
              </w:rPr>
              <w:t>.102</w:t>
            </w:r>
          </w:p>
        </w:tc>
        <w:tc>
          <w:tcPr>
            <w:tcW w:w="960" w:type="dxa"/>
          </w:tcPr>
          <w:p w14:paraId="5E3A451C">
            <w:pPr>
              <w:spacing w:after="0" w:line="240" w:lineRule="auto"/>
            </w:pPr>
            <w:r>
              <w:rPr>
                <w:sz w:val="18"/>
              </w:rPr>
              <w:t>556.2</w:t>
            </w:r>
          </w:p>
        </w:tc>
      </w:tr>
    </w:tbl>
    <w:p w14:paraId="6F812952"/>
    <w:p w14:paraId="75EDE3AB">
      <w:r>
        <w:rPr>
          <w:b/>
        </w:rPr>
        <w:t>内部一致性。</w:t>
      </w:r>
      <w:r>
        <w:t xml:space="preserve"> 得主组五个可估维度的 α 与 ω 在 .42—.55 之间，学生组在 .42—.65 之间，均低于 .70（假设 2c 未获支持，表 3）。α 与 ω 差距不超过 .10，说明问题不在"多维伪装成单维"，而在相关水平整体偏低。学生组在第二、第四维度反而高于得主组，更可能源于表彰文体使多个指标以同一套语句出现（内容同质化），而非维度更清楚。</w:t>
      </w:r>
    </w:p>
    <w:p w14:paraId="5496528D">
      <w:r>
        <w:t>表 3　各维度内部一致性（组内计算）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D94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848F11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440" w:type="dxa"/>
          </w:tcPr>
          <w:p w14:paraId="62F3AD4E">
            <w:pPr>
              <w:spacing w:after="0" w:line="240" w:lineRule="auto"/>
            </w:pPr>
            <w:r>
              <w:rPr>
                <w:b/>
                <w:sz w:val="18"/>
              </w:rPr>
              <w:t>指标数</w:t>
            </w:r>
          </w:p>
        </w:tc>
        <w:tc>
          <w:tcPr>
            <w:tcW w:w="1440" w:type="dxa"/>
          </w:tcPr>
          <w:p w14:paraId="1DFEB1F3">
            <w:pPr>
              <w:spacing w:after="0" w:line="240" w:lineRule="auto"/>
            </w:pPr>
            <w:r>
              <w:rPr>
                <w:b/>
                <w:sz w:val="18"/>
              </w:rPr>
              <w:t>得主组 α</w:t>
            </w:r>
          </w:p>
        </w:tc>
        <w:tc>
          <w:tcPr>
            <w:tcW w:w="1440" w:type="dxa"/>
          </w:tcPr>
          <w:p w14:paraId="2F0A0764">
            <w:pPr>
              <w:spacing w:after="0" w:line="240" w:lineRule="auto"/>
            </w:pPr>
            <w:r>
              <w:rPr>
                <w:b/>
                <w:sz w:val="18"/>
              </w:rPr>
              <w:t>得主组 ω</w:t>
            </w:r>
          </w:p>
        </w:tc>
        <w:tc>
          <w:tcPr>
            <w:tcW w:w="1440" w:type="dxa"/>
          </w:tcPr>
          <w:p w14:paraId="04E544DD">
            <w:pPr>
              <w:spacing w:after="0" w:line="240" w:lineRule="auto"/>
            </w:pPr>
            <w:r>
              <w:rPr>
                <w:b/>
                <w:sz w:val="18"/>
              </w:rPr>
              <w:t>学生组 α</w:t>
            </w:r>
          </w:p>
        </w:tc>
        <w:tc>
          <w:tcPr>
            <w:tcW w:w="1440" w:type="dxa"/>
          </w:tcPr>
          <w:p w14:paraId="08140EFB">
            <w:pPr>
              <w:spacing w:after="0" w:line="240" w:lineRule="auto"/>
            </w:pPr>
            <w:r>
              <w:rPr>
                <w:b/>
                <w:sz w:val="18"/>
              </w:rPr>
              <w:t>学生组 ω</w:t>
            </w:r>
          </w:p>
        </w:tc>
      </w:tr>
      <w:tr w14:paraId="7FB1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20182C">
            <w:pPr>
              <w:spacing w:after="0" w:line="240" w:lineRule="auto"/>
            </w:pPr>
            <w:r>
              <w:rPr>
                <w:sz w:val="18"/>
              </w:rPr>
              <w:t>1 自主方向与价值认同</w:t>
            </w:r>
          </w:p>
        </w:tc>
        <w:tc>
          <w:tcPr>
            <w:tcW w:w="1440" w:type="dxa"/>
          </w:tcPr>
          <w:p w14:paraId="115F04C2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40758CF7">
            <w:pPr>
              <w:spacing w:after="0" w:line="240" w:lineRule="auto"/>
            </w:pPr>
            <w:r>
              <w:rPr>
                <w:sz w:val="18"/>
              </w:rPr>
              <w:t>.543</w:t>
            </w:r>
          </w:p>
        </w:tc>
        <w:tc>
          <w:tcPr>
            <w:tcW w:w="1440" w:type="dxa"/>
          </w:tcPr>
          <w:p w14:paraId="1CC96AC6">
            <w:pPr>
              <w:spacing w:after="0" w:line="240" w:lineRule="auto"/>
            </w:pPr>
            <w:r>
              <w:rPr>
                <w:sz w:val="18"/>
              </w:rPr>
              <w:t>.554</w:t>
            </w:r>
          </w:p>
        </w:tc>
        <w:tc>
          <w:tcPr>
            <w:tcW w:w="1440" w:type="dxa"/>
          </w:tcPr>
          <w:p w14:paraId="64670E45">
            <w:pPr>
              <w:spacing w:after="0" w:line="240" w:lineRule="auto"/>
            </w:pPr>
            <w:r>
              <w:rPr>
                <w:sz w:val="18"/>
              </w:rPr>
              <w:t>.435</w:t>
            </w:r>
          </w:p>
        </w:tc>
        <w:tc>
          <w:tcPr>
            <w:tcW w:w="1440" w:type="dxa"/>
          </w:tcPr>
          <w:p w14:paraId="2CE6BCE5">
            <w:pPr>
              <w:spacing w:after="0" w:line="240" w:lineRule="auto"/>
            </w:pPr>
            <w:r>
              <w:rPr>
                <w:sz w:val="18"/>
              </w:rPr>
              <w:t>.488</w:t>
            </w:r>
          </w:p>
        </w:tc>
      </w:tr>
      <w:tr w14:paraId="5386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9540DC">
            <w:pPr>
              <w:spacing w:after="0" w:line="240" w:lineRule="auto"/>
            </w:pPr>
            <w:r>
              <w:rPr>
                <w:sz w:val="18"/>
              </w:rPr>
              <w:t>2 好奇与主动探索</w:t>
            </w:r>
          </w:p>
        </w:tc>
        <w:tc>
          <w:tcPr>
            <w:tcW w:w="1440" w:type="dxa"/>
          </w:tcPr>
          <w:p w14:paraId="5E3BF49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16F76F48">
            <w:pPr>
              <w:spacing w:after="0" w:line="240" w:lineRule="auto"/>
            </w:pPr>
            <w:r>
              <w:rPr>
                <w:sz w:val="18"/>
              </w:rPr>
              <w:t>.479</w:t>
            </w:r>
          </w:p>
        </w:tc>
        <w:tc>
          <w:tcPr>
            <w:tcW w:w="1440" w:type="dxa"/>
          </w:tcPr>
          <w:p w14:paraId="16C84A11">
            <w:pPr>
              <w:spacing w:after="0" w:line="240" w:lineRule="auto"/>
            </w:pPr>
            <w:r>
              <w:rPr>
                <w:sz w:val="18"/>
              </w:rPr>
              <w:t>.498</w:t>
            </w:r>
          </w:p>
        </w:tc>
        <w:tc>
          <w:tcPr>
            <w:tcW w:w="1440" w:type="dxa"/>
          </w:tcPr>
          <w:p w14:paraId="498A8BFE">
            <w:pPr>
              <w:spacing w:after="0" w:line="240" w:lineRule="auto"/>
            </w:pPr>
            <w:r>
              <w:rPr>
                <w:sz w:val="18"/>
              </w:rPr>
              <w:t>.600</w:t>
            </w:r>
          </w:p>
        </w:tc>
        <w:tc>
          <w:tcPr>
            <w:tcW w:w="1440" w:type="dxa"/>
          </w:tcPr>
          <w:p w14:paraId="44982820">
            <w:pPr>
              <w:spacing w:after="0" w:line="240" w:lineRule="auto"/>
            </w:pPr>
            <w:r>
              <w:rPr>
                <w:sz w:val="18"/>
              </w:rPr>
              <w:t>.646</w:t>
            </w:r>
          </w:p>
        </w:tc>
      </w:tr>
      <w:tr w14:paraId="799D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007DB5">
            <w:pPr>
              <w:spacing w:after="0" w:line="240" w:lineRule="auto"/>
            </w:pPr>
            <w:r>
              <w:rPr>
                <w:sz w:val="18"/>
              </w:rPr>
              <w:t>3 信息接纳与过滤</w:t>
            </w:r>
          </w:p>
        </w:tc>
        <w:tc>
          <w:tcPr>
            <w:tcW w:w="1440" w:type="dxa"/>
          </w:tcPr>
          <w:p w14:paraId="62182BDB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24AFDE2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4376814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50F64B82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0C974402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468B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8BCC01">
            <w:pPr>
              <w:spacing w:after="0" w:line="240" w:lineRule="auto"/>
            </w:pPr>
            <w:r>
              <w:rPr>
                <w:sz w:val="18"/>
              </w:rPr>
              <w:t>4 联结与问题重构</w:t>
            </w:r>
          </w:p>
        </w:tc>
        <w:tc>
          <w:tcPr>
            <w:tcW w:w="1440" w:type="dxa"/>
          </w:tcPr>
          <w:p w14:paraId="35A18CFB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3A06DCDB">
            <w:pPr>
              <w:spacing w:after="0" w:line="240" w:lineRule="auto"/>
            </w:pPr>
            <w:r>
              <w:rPr>
                <w:sz w:val="18"/>
              </w:rPr>
              <w:t>.518</w:t>
            </w:r>
          </w:p>
        </w:tc>
        <w:tc>
          <w:tcPr>
            <w:tcW w:w="1440" w:type="dxa"/>
          </w:tcPr>
          <w:p w14:paraId="3A824937">
            <w:pPr>
              <w:spacing w:after="0" w:line="240" w:lineRule="auto"/>
            </w:pPr>
            <w:r>
              <w:rPr>
                <w:sz w:val="18"/>
              </w:rPr>
              <w:t>.502</w:t>
            </w:r>
          </w:p>
        </w:tc>
        <w:tc>
          <w:tcPr>
            <w:tcW w:w="1440" w:type="dxa"/>
          </w:tcPr>
          <w:p w14:paraId="6DD294EE">
            <w:pPr>
              <w:spacing w:after="0" w:line="240" w:lineRule="auto"/>
            </w:pPr>
            <w:r>
              <w:rPr>
                <w:sz w:val="18"/>
              </w:rPr>
              <w:t>.544</w:t>
            </w:r>
          </w:p>
        </w:tc>
        <w:tc>
          <w:tcPr>
            <w:tcW w:w="1440" w:type="dxa"/>
          </w:tcPr>
          <w:p w14:paraId="0C9504ED">
            <w:pPr>
              <w:spacing w:after="0" w:line="240" w:lineRule="auto"/>
            </w:pPr>
            <w:r>
              <w:rPr>
                <w:sz w:val="18"/>
              </w:rPr>
              <w:t>.639</w:t>
            </w:r>
          </w:p>
        </w:tc>
      </w:tr>
      <w:tr w14:paraId="5131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AF2730">
            <w:pPr>
              <w:spacing w:after="0" w:line="240" w:lineRule="auto"/>
            </w:pPr>
            <w:r>
              <w:rPr>
                <w:sz w:val="18"/>
              </w:rPr>
              <w:t>5 独立判断与认知调节</w:t>
            </w:r>
          </w:p>
        </w:tc>
        <w:tc>
          <w:tcPr>
            <w:tcW w:w="1440" w:type="dxa"/>
          </w:tcPr>
          <w:p w14:paraId="34123CD7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3E0619A1">
            <w:pPr>
              <w:spacing w:after="0" w:line="240" w:lineRule="auto"/>
            </w:pPr>
            <w:r>
              <w:rPr>
                <w:sz w:val="18"/>
              </w:rPr>
              <w:t>.423</w:t>
            </w:r>
          </w:p>
        </w:tc>
        <w:tc>
          <w:tcPr>
            <w:tcW w:w="1440" w:type="dxa"/>
          </w:tcPr>
          <w:p w14:paraId="06CBF18C">
            <w:pPr>
              <w:spacing w:after="0" w:line="240" w:lineRule="auto"/>
            </w:pPr>
            <w:r>
              <w:rPr>
                <w:sz w:val="18"/>
              </w:rPr>
              <w:t>.469</w:t>
            </w:r>
          </w:p>
        </w:tc>
        <w:tc>
          <w:tcPr>
            <w:tcW w:w="1440" w:type="dxa"/>
          </w:tcPr>
          <w:p w14:paraId="6D7F2CB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440" w:type="dxa"/>
          </w:tcPr>
          <w:p w14:paraId="1A90B96D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14:paraId="570B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BAD886">
            <w:pPr>
              <w:spacing w:after="0" w:line="240" w:lineRule="auto"/>
            </w:pPr>
            <w:r>
              <w:rPr>
                <w:sz w:val="18"/>
              </w:rPr>
              <w:t>6 自主投入与迭代实现</w:t>
            </w:r>
          </w:p>
        </w:tc>
        <w:tc>
          <w:tcPr>
            <w:tcW w:w="1440" w:type="dxa"/>
          </w:tcPr>
          <w:p w14:paraId="3D4FBEFE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154C9030">
            <w:pPr>
              <w:spacing w:after="0" w:line="240" w:lineRule="auto"/>
            </w:pPr>
            <w:r>
              <w:rPr>
                <w:sz w:val="18"/>
              </w:rPr>
              <w:t>.523</w:t>
            </w:r>
          </w:p>
        </w:tc>
        <w:tc>
          <w:tcPr>
            <w:tcW w:w="1440" w:type="dxa"/>
          </w:tcPr>
          <w:p w14:paraId="22E9B50F">
            <w:pPr>
              <w:spacing w:after="0" w:line="240" w:lineRule="auto"/>
            </w:pPr>
            <w:r>
              <w:rPr>
                <w:sz w:val="18"/>
              </w:rPr>
              <w:t>.537</w:t>
            </w:r>
          </w:p>
        </w:tc>
        <w:tc>
          <w:tcPr>
            <w:tcW w:w="1440" w:type="dxa"/>
          </w:tcPr>
          <w:p w14:paraId="5D3C7451">
            <w:pPr>
              <w:spacing w:after="0" w:line="240" w:lineRule="auto"/>
            </w:pPr>
            <w:r>
              <w:rPr>
                <w:sz w:val="18"/>
              </w:rPr>
              <w:t>.423</w:t>
            </w:r>
          </w:p>
        </w:tc>
        <w:tc>
          <w:tcPr>
            <w:tcW w:w="1440" w:type="dxa"/>
          </w:tcPr>
          <w:p w14:paraId="2E739E19">
            <w:pPr>
              <w:spacing w:after="0" w:line="240" w:lineRule="auto"/>
            </w:pPr>
            <w:r>
              <w:rPr>
                <w:sz w:val="18"/>
              </w:rPr>
              <w:t>.484</w:t>
            </w:r>
          </w:p>
        </w:tc>
      </w:tr>
    </w:tbl>
    <w:p w14:paraId="71F74918"/>
    <w:p w14:paraId="3370756C">
      <w:pPr>
        <w:pStyle w:val="5"/>
      </w:pPr>
      <w:r>
        <w:t>4.4 小结</w:t>
      </w:r>
    </w:p>
    <w:p w14:paraId="54FA7A29">
      <w:r>
        <w:t>三条判据仅满足其一：相关方向符合预期但效应微弱，六因子模型在信息准则上不一致且无一达到可接受拟合，维度内部一致性全部低于 .70。六维结构未获支持，数据更接近两个内容簇；而"两个"亦只是"至少两个"。据此将六类视为形成性内容分类，而非可分别计分的心理维度，假设 2 未获支持。</w:t>
      </w:r>
    </w:p>
    <w:p w14:paraId="58C8FFCC">
      <w:pPr>
        <w:pStyle w:val="4"/>
      </w:pPr>
      <w:r>
        <w:t>5 问题三：发展阶段与群体差异</w:t>
      </w:r>
    </w:p>
    <w:p w14:paraId="5810F351">
      <w:pPr>
        <w:pStyle w:val="5"/>
      </w:pPr>
      <w:r>
        <w:t>5.1 假设</w:t>
      </w:r>
    </w:p>
    <w:p w14:paraId="2CD5A34F">
      <w:r>
        <w:t>见 1.3 假设 3a—3c。</w:t>
      </w:r>
    </w:p>
    <w:p w14:paraId="14357E79">
      <w:pPr>
        <w:pStyle w:val="5"/>
      </w:pPr>
      <w:r>
        <w:t>5.2 方法与分析</w:t>
      </w:r>
    </w:p>
    <w:p w14:paraId="75C80582">
      <w:r>
        <w:t>以行为级判断为观测单位，按四个人生阶段统计各指标分布，并以</w:t>
      </w:r>
      <w:r>
        <w:rPr>
          <w:b/>
        </w:rPr>
        <w:t>阶段富集度</w:t>
      </w:r>
      <w:r>
        <w:t>（log₂ 该指标在该阶段的构成 ÷ 全部证据在该阶段的构成）使指标间可比；富集度反映叙述中该行为出现在哪个时期，不反映该行为在哪个时期最强。</w:t>
      </w:r>
    </w:p>
    <w:p w14:paraId="2D8BA397">
      <w:r>
        <w:t>与先验方向对照时，将模型四阶段相关度作线性趋势拟合取其符号，将经验趋势定义为"工作后富集度 − 中学及以前富集度"，绝对值大于 0.3 才判定方向。</w:t>
      </w:r>
    </w:p>
    <w:p w14:paraId="1D3F217D">
      <w:r>
        <w:t>群体比较只比构成（理由见 2.4），以 Spearman 秩相关刻画整体相似性。学历比较在学生组内进行：以各维度行为证据数为因变量、学历为自变量作泊松回归，以对数字数为 offset。</w:t>
      </w:r>
    </w:p>
    <w:p w14:paraId="46D04B61">
      <w:pPr>
        <w:pStyle w:val="5"/>
      </w:pPr>
      <w:r>
        <w:t>5.3 结果</w:t>
      </w:r>
    </w:p>
    <w:p w14:paraId="101C6324">
      <w:r>
        <w:rPr>
          <w:b/>
        </w:rPr>
        <w:t>阶段趋势。</w:t>
      </w:r>
      <w:r>
        <w:t xml:space="preserve"> 21 项指标趋势方向可判，其中 </w:t>
      </w:r>
      <w:r>
        <w:rPr>
          <w:b/>
        </w:rPr>
        <w:t>15 项（71%）</w:t>
      </w:r>
      <w:r>
        <w:t xml:space="preserve"> 与先验一致（表 4）。一致者呈清晰格局：求知好奇心、自发提问、主动信息搜寻由中学阶段高点单调下降；根据反证更新判断、策略调整、持续投入、想法转化为可检验方案在工作后达到高点。</w:t>
      </w:r>
    </w:p>
    <w:p w14:paraId="2A70599C">
      <w:r>
        <w:t>不一致的 6 项中，</w:t>
      </w:r>
      <w:r>
        <w:rPr>
          <w:b/>
        </w:rPr>
        <w:t>3 项集中在第一维度</w:t>
      </w:r>
      <w:r>
        <w:t>：目标清晰度、目标自我一致性、领域身份认同的阶段富集峰值均位于</w:t>
      </w:r>
      <w:r>
        <w:rPr>
          <w:b/>
        </w:rPr>
        <w:t>本科</w:t>
      </w:r>
      <w:r>
        <w:t>（+1.4、+2.4、+2.2），工作后低于期望（图 3）。这一形态可由发展任务的差异解释——选择专业、确定方向、形成领域认同属发展任务，任务解决后不再反复成为叙述焦点。另三项为对兴趣的反复返回与隐藏规律发现（经验上升、先验下降）及自发项目（经验下降、先验上升）。</w:t>
      </w:r>
    </w:p>
    <w:p w14:paraId="433BB77C">
      <w:r>
        <w:t>表 4　经验趋势与先验方向（一致与不一致各举数例）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EA4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376749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728" w:type="dxa"/>
          </w:tcPr>
          <w:p w14:paraId="72C37ADC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728" w:type="dxa"/>
          </w:tcPr>
          <w:p w14:paraId="0C8B583B">
            <w:pPr>
              <w:spacing w:after="0" w:line="240" w:lineRule="auto"/>
            </w:pPr>
            <w:r>
              <w:rPr>
                <w:b/>
                <w:sz w:val="18"/>
              </w:rPr>
              <w:t>经验趋势</w:t>
            </w:r>
          </w:p>
        </w:tc>
        <w:tc>
          <w:tcPr>
            <w:tcW w:w="1728" w:type="dxa"/>
          </w:tcPr>
          <w:p w14:paraId="5E92A805">
            <w:pPr>
              <w:spacing w:after="0" w:line="240" w:lineRule="auto"/>
            </w:pPr>
            <w:r>
              <w:rPr>
                <w:b/>
                <w:sz w:val="18"/>
              </w:rPr>
              <w:t>先验方向</w:t>
            </w:r>
          </w:p>
        </w:tc>
        <w:tc>
          <w:tcPr>
            <w:tcW w:w="1728" w:type="dxa"/>
          </w:tcPr>
          <w:p w14:paraId="63CB5584">
            <w:pPr>
              <w:spacing w:after="0" w:line="240" w:lineRule="auto"/>
            </w:pPr>
            <w:r>
              <w:rPr>
                <w:b/>
                <w:sz w:val="18"/>
              </w:rPr>
              <w:t>一致</w:t>
            </w:r>
          </w:p>
        </w:tc>
      </w:tr>
      <w:tr w14:paraId="2FE7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8E2F12">
            <w:pPr>
              <w:spacing w:after="0" w:line="240" w:lineRule="auto"/>
            </w:pPr>
            <w:r>
              <w:rPr>
                <w:sz w:val="18"/>
              </w:rPr>
              <w:t>求知好奇心</w:t>
            </w:r>
          </w:p>
        </w:tc>
        <w:tc>
          <w:tcPr>
            <w:tcW w:w="1728" w:type="dxa"/>
          </w:tcPr>
          <w:p w14:paraId="392316C1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6513954">
            <w:pPr>
              <w:spacing w:after="0" w:line="240" w:lineRule="auto"/>
            </w:pPr>
            <w:r>
              <w:rPr>
                <w:sz w:val="18"/>
              </w:rPr>
              <w:t>下降（中学 +2.1 → 工作后 −1.2）</w:t>
            </w:r>
          </w:p>
        </w:tc>
        <w:tc>
          <w:tcPr>
            <w:tcW w:w="1728" w:type="dxa"/>
          </w:tcPr>
          <w:p w14:paraId="4A928FE0">
            <w:pPr>
              <w:spacing w:after="0" w:line="240" w:lineRule="auto"/>
            </w:pPr>
            <w:r>
              <w:rPr>
                <w:sz w:val="18"/>
              </w:rPr>
              <w:t>下降</w:t>
            </w:r>
          </w:p>
        </w:tc>
        <w:tc>
          <w:tcPr>
            <w:tcW w:w="1728" w:type="dxa"/>
          </w:tcPr>
          <w:p w14:paraId="4E0E2A04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7E76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6786CE">
            <w:pPr>
              <w:spacing w:after="0" w:line="240" w:lineRule="auto"/>
            </w:pPr>
            <w:r>
              <w:rPr>
                <w:sz w:val="18"/>
              </w:rPr>
              <w:t>主动信息搜寻</w:t>
            </w:r>
          </w:p>
        </w:tc>
        <w:tc>
          <w:tcPr>
            <w:tcW w:w="1728" w:type="dxa"/>
          </w:tcPr>
          <w:p w14:paraId="217F2862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50A7E629">
            <w:pPr>
              <w:spacing w:after="0" w:line="240" w:lineRule="auto"/>
            </w:pPr>
            <w:r>
              <w:rPr>
                <w:sz w:val="18"/>
              </w:rPr>
              <w:t>下降</w:t>
            </w:r>
          </w:p>
        </w:tc>
        <w:tc>
          <w:tcPr>
            <w:tcW w:w="1728" w:type="dxa"/>
          </w:tcPr>
          <w:p w14:paraId="346D9536">
            <w:pPr>
              <w:spacing w:after="0" w:line="240" w:lineRule="auto"/>
            </w:pPr>
            <w:r>
              <w:rPr>
                <w:sz w:val="18"/>
              </w:rPr>
              <w:t>下降</w:t>
            </w:r>
          </w:p>
        </w:tc>
        <w:tc>
          <w:tcPr>
            <w:tcW w:w="1728" w:type="dxa"/>
          </w:tcPr>
          <w:p w14:paraId="6C1D4B1D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7711C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11128D">
            <w:pPr>
              <w:spacing w:after="0" w:line="240" w:lineRule="auto"/>
            </w:pPr>
            <w:r>
              <w:rPr>
                <w:sz w:val="18"/>
              </w:rPr>
              <w:t>知识缺口敏感性</w:t>
            </w:r>
          </w:p>
        </w:tc>
        <w:tc>
          <w:tcPr>
            <w:tcW w:w="1728" w:type="dxa"/>
          </w:tcPr>
          <w:p w14:paraId="7E701353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4AE24782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7DFBF1F4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721367E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593D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EAB92A">
            <w:pPr>
              <w:spacing w:after="0" w:line="240" w:lineRule="auto"/>
            </w:pPr>
            <w:r>
              <w:rPr>
                <w:sz w:val="18"/>
              </w:rPr>
              <w:t>根据反证更新判断</w:t>
            </w:r>
          </w:p>
        </w:tc>
        <w:tc>
          <w:tcPr>
            <w:tcW w:w="1728" w:type="dxa"/>
          </w:tcPr>
          <w:p w14:paraId="00CB4194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237A16D4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72444F82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502DC03E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09F9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27A65C">
            <w:pPr>
              <w:spacing w:after="0" w:line="240" w:lineRule="auto"/>
            </w:pPr>
            <w:r>
              <w:rPr>
                <w:sz w:val="18"/>
              </w:rPr>
              <w:t>策略调整</w:t>
            </w:r>
          </w:p>
        </w:tc>
        <w:tc>
          <w:tcPr>
            <w:tcW w:w="1728" w:type="dxa"/>
          </w:tcPr>
          <w:p w14:paraId="5E93AF48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7CD59EA7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51ABBFDD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079F851C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75F0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92A412">
            <w:pPr>
              <w:spacing w:after="0" w:line="240" w:lineRule="auto"/>
            </w:pPr>
            <w:r>
              <w:rPr>
                <w:sz w:val="18"/>
              </w:rPr>
              <w:t>持续投入</w:t>
            </w:r>
          </w:p>
        </w:tc>
        <w:tc>
          <w:tcPr>
            <w:tcW w:w="1728" w:type="dxa"/>
          </w:tcPr>
          <w:p w14:paraId="08F6F42B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2978212C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79D826F5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06837257">
            <w:pPr>
              <w:spacing w:after="0" w:line="240" w:lineRule="auto"/>
            </w:pPr>
            <w:r>
              <w:rPr>
                <w:sz w:val="18"/>
              </w:rPr>
              <w:t>是</w:t>
            </w:r>
          </w:p>
        </w:tc>
      </w:tr>
      <w:tr w14:paraId="606C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0788E4">
            <w:pPr>
              <w:spacing w:after="0" w:line="240" w:lineRule="auto"/>
            </w:pPr>
            <w:r>
              <w:rPr>
                <w:sz w:val="18"/>
              </w:rPr>
              <w:t>目标清晰度</w:t>
            </w:r>
          </w:p>
        </w:tc>
        <w:tc>
          <w:tcPr>
            <w:tcW w:w="1728" w:type="dxa"/>
          </w:tcPr>
          <w:p w14:paraId="7FAE5667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365718EF">
            <w:pPr>
              <w:spacing w:after="0" w:line="240" w:lineRule="auto"/>
            </w:pPr>
            <w:r>
              <w:rPr>
                <w:sz w:val="18"/>
              </w:rPr>
              <w:t>下降（本科 +1.4 为峰值）</w:t>
            </w:r>
          </w:p>
        </w:tc>
        <w:tc>
          <w:tcPr>
            <w:tcW w:w="1728" w:type="dxa"/>
          </w:tcPr>
          <w:p w14:paraId="1731E82F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1081C4D0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</w:tr>
      <w:tr w14:paraId="1E7A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FD6F73">
            <w:pPr>
              <w:spacing w:after="0" w:line="240" w:lineRule="auto"/>
            </w:pPr>
            <w:r>
              <w:rPr>
                <w:sz w:val="18"/>
              </w:rPr>
              <w:t>目标自我一致性</w:t>
            </w:r>
          </w:p>
        </w:tc>
        <w:tc>
          <w:tcPr>
            <w:tcW w:w="1728" w:type="dxa"/>
          </w:tcPr>
          <w:p w14:paraId="3E7C10FF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48E04AC9">
            <w:pPr>
              <w:spacing w:after="0" w:line="240" w:lineRule="auto"/>
            </w:pPr>
            <w:r>
              <w:rPr>
                <w:sz w:val="18"/>
              </w:rPr>
              <w:t>下降（本科 +2.4 为峰值）</w:t>
            </w:r>
          </w:p>
        </w:tc>
        <w:tc>
          <w:tcPr>
            <w:tcW w:w="1728" w:type="dxa"/>
          </w:tcPr>
          <w:p w14:paraId="24FD999F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04FF3993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</w:tr>
      <w:tr w14:paraId="0B53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C70FE0">
            <w:pPr>
              <w:spacing w:after="0" w:line="240" w:lineRule="auto"/>
            </w:pPr>
            <w:r>
              <w:rPr>
                <w:sz w:val="18"/>
              </w:rPr>
              <w:t>领域身份认同</w:t>
            </w:r>
          </w:p>
        </w:tc>
        <w:tc>
          <w:tcPr>
            <w:tcW w:w="1728" w:type="dxa"/>
          </w:tcPr>
          <w:p w14:paraId="634C4E1D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179D5F88">
            <w:pPr>
              <w:spacing w:after="0" w:line="240" w:lineRule="auto"/>
            </w:pPr>
            <w:r>
              <w:rPr>
                <w:sz w:val="18"/>
              </w:rPr>
              <w:t>下降（本科 +2.2 为峰值）</w:t>
            </w:r>
          </w:p>
        </w:tc>
        <w:tc>
          <w:tcPr>
            <w:tcW w:w="1728" w:type="dxa"/>
          </w:tcPr>
          <w:p w14:paraId="14C1E1E6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1A7B60D4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</w:tr>
      <w:tr w14:paraId="0A16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EA1CAD">
            <w:pPr>
              <w:spacing w:after="0" w:line="240" w:lineRule="auto"/>
            </w:pPr>
            <w:r>
              <w:rPr>
                <w:sz w:val="18"/>
              </w:rPr>
              <w:t>自发项目</w:t>
            </w:r>
          </w:p>
        </w:tc>
        <w:tc>
          <w:tcPr>
            <w:tcW w:w="1728" w:type="dxa"/>
          </w:tcPr>
          <w:p w14:paraId="1EB901C4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480B8B03">
            <w:pPr>
              <w:spacing w:after="0" w:line="240" w:lineRule="auto"/>
            </w:pPr>
            <w:r>
              <w:rPr>
                <w:sz w:val="18"/>
              </w:rPr>
              <w:t>下降</w:t>
            </w:r>
          </w:p>
        </w:tc>
        <w:tc>
          <w:tcPr>
            <w:tcW w:w="1728" w:type="dxa"/>
          </w:tcPr>
          <w:p w14:paraId="3C0808B5">
            <w:pPr>
              <w:spacing w:after="0" w:line="240" w:lineRule="auto"/>
            </w:pPr>
            <w:r>
              <w:rPr>
                <w:sz w:val="18"/>
              </w:rPr>
              <w:t>上升</w:t>
            </w:r>
          </w:p>
        </w:tc>
        <w:tc>
          <w:tcPr>
            <w:tcW w:w="1728" w:type="dxa"/>
          </w:tcPr>
          <w:p w14:paraId="4B3E522D">
            <w:pPr>
              <w:spacing w:after="0" w:line="240" w:lineRule="auto"/>
            </w:pPr>
            <w:r>
              <w:rPr>
                <w:sz w:val="18"/>
              </w:rPr>
              <w:t>否</w:t>
            </w:r>
          </w:p>
        </w:tc>
      </w:tr>
    </w:tbl>
    <w:p w14:paraId="37D13C1C"/>
    <w:p w14:paraId="2D480F03">
      <w:pPr>
        <w:jc w:val="center"/>
      </w:pPr>
      <w:bookmarkStart w:id="0" w:name="_GoBack"/>
      <w:r>
        <w:drawing>
          <wp:inline distT="0" distB="0" distL="114300" distR="114300">
            <wp:extent cx="4849495" cy="864552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86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228784">
      <w:pPr>
        <w:jc w:val="center"/>
      </w:pPr>
      <w:r>
        <w:rPr>
          <w:sz w:val="18"/>
        </w:rPr>
        <w:t>图 3　各指标行为证据的阶段富集度（得主组）：红色高于该阶段期望分布，蓝色低于，空白为证据不足</w:t>
      </w:r>
    </w:p>
    <w:p w14:paraId="6BF30354">
      <w:r>
        <w:rPr>
          <w:b/>
        </w:rPr>
        <w:t>群体构成。</w:t>
      </w:r>
      <w:r>
        <w:t xml:space="preserve"> 两组构成整体高度相似（*ρ* = .84），差异集中在四处：学生组更偏第一维度（28.9% 比 18.6%）与第六维度（39.4% 比 28.3%），得主组更偏第二维度（23.4% 比 13.4%）与第五维度（10.6% 比 2.3%）（表 5）。该方向与两种文体的叙述重点吻合——表彰性报道写坚持与奉献，自传写探索与判断——故不宜读作群体能力差异（假设 3b 得支持，但差异来源不能归于群体本身）。</w:t>
      </w:r>
    </w:p>
    <w:p w14:paraId="0C5DFC39">
      <w:r>
        <w:t>表 5　六个维度占本组行为证据的构成比（第三类仅一项可编码指标）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4A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A1D56D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0" w:type="dxa"/>
          </w:tcPr>
          <w:p w14:paraId="573A30FF">
            <w:pPr>
              <w:spacing w:after="0" w:line="240" w:lineRule="auto"/>
            </w:pPr>
            <w:r>
              <w:rPr>
                <w:b/>
                <w:sz w:val="18"/>
              </w:rPr>
              <w:t>获奖学生（%）</w:t>
            </w:r>
          </w:p>
        </w:tc>
        <w:tc>
          <w:tcPr>
            <w:tcW w:w="2880" w:type="dxa"/>
          </w:tcPr>
          <w:p w14:paraId="70EFD57A">
            <w:pPr>
              <w:spacing w:after="0" w:line="240" w:lineRule="auto"/>
            </w:pPr>
            <w:r>
              <w:rPr>
                <w:b/>
                <w:sz w:val="18"/>
              </w:rPr>
              <w:t>诺贝尔奖得主（%）</w:t>
            </w:r>
          </w:p>
        </w:tc>
      </w:tr>
      <w:tr w14:paraId="6E0BE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5C954D">
            <w:pPr>
              <w:spacing w:after="0" w:line="240" w:lineRule="auto"/>
            </w:pPr>
            <w:r>
              <w:rPr>
                <w:sz w:val="18"/>
              </w:rPr>
              <w:t>1 自主方向与价值认同</w:t>
            </w:r>
          </w:p>
        </w:tc>
        <w:tc>
          <w:tcPr>
            <w:tcW w:w="2880" w:type="dxa"/>
          </w:tcPr>
          <w:p w14:paraId="21B7FF5E">
            <w:pPr>
              <w:spacing w:after="0" w:line="240" w:lineRule="auto"/>
            </w:pPr>
            <w:r>
              <w:rPr>
                <w:sz w:val="18"/>
              </w:rPr>
              <w:t>28.9</w:t>
            </w:r>
          </w:p>
        </w:tc>
        <w:tc>
          <w:tcPr>
            <w:tcW w:w="2880" w:type="dxa"/>
          </w:tcPr>
          <w:p w14:paraId="0ABF339E">
            <w:pPr>
              <w:spacing w:after="0" w:line="240" w:lineRule="auto"/>
            </w:pPr>
            <w:r>
              <w:rPr>
                <w:sz w:val="18"/>
              </w:rPr>
              <w:t>18.6</w:t>
            </w:r>
          </w:p>
        </w:tc>
      </w:tr>
      <w:tr w14:paraId="2B6B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62558D">
            <w:pPr>
              <w:spacing w:after="0" w:line="240" w:lineRule="auto"/>
            </w:pPr>
            <w:r>
              <w:rPr>
                <w:sz w:val="18"/>
              </w:rPr>
              <w:t>2 好奇与主动探索</w:t>
            </w:r>
          </w:p>
        </w:tc>
        <w:tc>
          <w:tcPr>
            <w:tcW w:w="2880" w:type="dxa"/>
          </w:tcPr>
          <w:p w14:paraId="5F363907">
            <w:pPr>
              <w:spacing w:after="0" w:line="240" w:lineRule="auto"/>
            </w:pPr>
            <w:r>
              <w:rPr>
                <w:sz w:val="18"/>
              </w:rPr>
              <w:t>13.4</w:t>
            </w:r>
          </w:p>
        </w:tc>
        <w:tc>
          <w:tcPr>
            <w:tcW w:w="2880" w:type="dxa"/>
          </w:tcPr>
          <w:p w14:paraId="32138D5A">
            <w:pPr>
              <w:spacing w:after="0" w:line="240" w:lineRule="auto"/>
            </w:pPr>
            <w:r>
              <w:rPr>
                <w:sz w:val="18"/>
              </w:rPr>
              <w:t>23.4</w:t>
            </w:r>
          </w:p>
        </w:tc>
      </w:tr>
      <w:tr w14:paraId="326D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EE04F1">
            <w:pPr>
              <w:spacing w:after="0" w:line="240" w:lineRule="auto"/>
            </w:pPr>
            <w:r>
              <w:rPr>
                <w:sz w:val="18"/>
              </w:rPr>
              <w:t>3 信息接纳与过滤</w:t>
            </w:r>
          </w:p>
        </w:tc>
        <w:tc>
          <w:tcPr>
            <w:tcW w:w="2880" w:type="dxa"/>
          </w:tcPr>
          <w:p w14:paraId="70A1639B">
            <w:pPr>
              <w:spacing w:after="0" w:line="240" w:lineRule="auto"/>
            </w:pPr>
            <w:r>
              <w:rPr>
                <w:sz w:val="18"/>
              </w:rPr>
              <w:t>2.5</w:t>
            </w:r>
          </w:p>
        </w:tc>
        <w:tc>
          <w:tcPr>
            <w:tcW w:w="2880" w:type="dxa"/>
          </w:tcPr>
          <w:p w14:paraId="1D0E4C59">
            <w:pPr>
              <w:spacing w:after="0" w:line="240" w:lineRule="auto"/>
            </w:pPr>
            <w:r>
              <w:rPr>
                <w:sz w:val="18"/>
              </w:rPr>
              <w:t>3.6</w:t>
            </w:r>
          </w:p>
        </w:tc>
      </w:tr>
      <w:tr w14:paraId="60C5F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874A4C">
            <w:pPr>
              <w:spacing w:after="0" w:line="240" w:lineRule="auto"/>
            </w:pPr>
            <w:r>
              <w:rPr>
                <w:sz w:val="18"/>
              </w:rPr>
              <w:t>4 联结与问题重构</w:t>
            </w:r>
          </w:p>
        </w:tc>
        <w:tc>
          <w:tcPr>
            <w:tcW w:w="2880" w:type="dxa"/>
          </w:tcPr>
          <w:p w14:paraId="0254A51A">
            <w:pPr>
              <w:spacing w:after="0" w:line="240" w:lineRule="auto"/>
            </w:pPr>
            <w:r>
              <w:rPr>
                <w:sz w:val="18"/>
              </w:rPr>
              <w:t>13.4</w:t>
            </w:r>
          </w:p>
        </w:tc>
        <w:tc>
          <w:tcPr>
            <w:tcW w:w="2880" w:type="dxa"/>
          </w:tcPr>
          <w:p w14:paraId="07882A1B">
            <w:pPr>
              <w:spacing w:after="0" w:line="240" w:lineRule="auto"/>
            </w:pPr>
            <w:r>
              <w:rPr>
                <w:sz w:val="18"/>
              </w:rPr>
              <w:t>15.5</w:t>
            </w:r>
          </w:p>
        </w:tc>
      </w:tr>
      <w:tr w14:paraId="3CB6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FC1D4">
            <w:pPr>
              <w:spacing w:after="0" w:line="240" w:lineRule="auto"/>
            </w:pPr>
            <w:r>
              <w:rPr>
                <w:sz w:val="18"/>
              </w:rPr>
              <w:t>5 独立判断与认知调节</w:t>
            </w:r>
          </w:p>
        </w:tc>
        <w:tc>
          <w:tcPr>
            <w:tcW w:w="2880" w:type="dxa"/>
          </w:tcPr>
          <w:p w14:paraId="07D1B229">
            <w:pPr>
              <w:spacing w:after="0" w:line="240" w:lineRule="auto"/>
            </w:pPr>
            <w:r>
              <w:rPr>
                <w:sz w:val="18"/>
              </w:rPr>
              <w:t>2.3</w:t>
            </w:r>
          </w:p>
        </w:tc>
        <w:tc>
          <w:tcPr>
            <w:tcW w:w="2880" w:type="dxa"/>
          </w:tcPr>
          <w:p w14:paraId="6E2D3692">
            <w:pPr>
              <w:spacing w:after="0" w:line="240" w:lineRule="auto"/>
            </w:pPr>
            <w:r>
              <w:rPr>
                <w:sz w:val="18"/>
              </w:rPr>
              <w:t>10.6</w:t>
            </w:r>
          </w:p>
        </w:tc>
      </w:tr>
      <w:tr w14:paraId="67855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33FDF">
            <w:pPr>
              <w:spacing w:after="0" w:line="240" w:lineRule="auto"/>
            </w:pPr>
            <w:r>
              <w:rPr>
                <w:sz w:val="18"/>
              </w:rPr>
              <w:t>6 自主投入与迭代实现</w:t>
            </w:r>
          </w:p>
        </w:tc>
        <w:tc>
          <w:tcPr>
            <w:tcW w:w="2880" w:type="dxa"/>
          </w:tcPr>
          <w:p w14:paraId="3C64572B">
            <w:pPr>
              <w:spacing w:after="0" w:line="240" w:lineRule="auto"/>
            </w:pPr>
            <w:r>
              <w:rPr>
                <w:sz w:val="18"/>
              </w:rPr>
              <w:t>39.4</w:t>
            </w:r>
          </w:p>
        </w:tc>
        <w:tc>
          <w:tcPr>
            <w:tcW w:w="2880" w:type="dxa"/>
          </w:tcPr>
          <w:p w14:paraId="5E1EF652">
            <w:pPr>
              <w:spacing w:after="0" w:line="240" w:lineRule="auto"/>
            </w:pPr>
            <w:r>
              <w:rPr>
                <w:sz w:val="18"/>
              </w:rPr>
              <w:t>28.3</w:t>
            </w:r>
          </w:p>
        </w:tc>
      </w:tr>
    </w:tbl>
    <w:p w14:paraId="0BCD8A69"/>
    <w:p w14:paraId="0D08C397">
      <w:r>
        <w:rPr>
          <w:b/>
        </w:rPr>
        <w:t>学历差异。</w:t>
      </w:r>
      <w:r>
        <w:t xml:space="preserve"> 学生组内，研究生在"好奇与主动探索"上的行为证据为本科生的 0.25 倍（95% CI [0.10, 0.64]，*p* = .003），在"自主方向与价值认同"上为 0.61 倍（95% CI [0.39, 0.97]，*p* = .034），其余四维度无显著差异（表 6）。前一结果方向与"探索随阶段下降"一致（假设 3c 得支持），后一结果与"方向性事件集中于本科"相互印证。研究生样本仅 36 人且材料偏短，宜作方向性提示。</w:t>
      </w:r>
    </w:p>
    <w:p w14:paraId="30CEAE86">
      <w:r>
        <w:t>表 6　本科生与研究生的维度差异（泊松回归，控制篇幅）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4E2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E30945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728" w:type="dxa"/>
          </w:tcPr>
          <w:p w14:paraId="27B5726E">
            <w:pPr>
              <w:spacing w:after="0" w:line="240" w:lineRule="auto"/>
            </w:pPr>
            <w:r>
              <w:rPr>
                <w:b/>
                <w:sz w:val="18"/>
              </w:rPr>
              <w:t>本科生均值</w:t>
            </w:r>
          </w:p>
        </w:tc>
        <w:tc>
          <w:tcPr>
            <w:tcW w:w="1728" w:type="dxa"/>
          </w:tcPr>
          <w:p w14:paraId="008C166C">
            <w:pPr>
              <w:spacing w:after="0" w:line="240" w:lineRule="auto"/>
            </w:pPr>
            <w:r>
              <w:rPr>
                <w:b/>
                <w:sz w:val="18"/>
              </w:rPr>
              <w:t>研究生均值</w:t>
            </w:r>
          </w:p>
        </w:tc>
        <w:tc>
          <w:tcPr>
            <w:tcW w:w="1728" w:type="dxa"/>
          </w:tcPr>
          <w:p w14:paraId="481D0F81">
            <w:pPr>
              <w:spacing w:after="0" w:line="240" w:lineRule="auto"/>
            </w:pPr>
            <w:r>
              <w:rPr>
                <w:b/>
                <w:sz w:val="18"/>
              </w:rPr>
              <w:t>发生率比 [95% CI]</w:t>
            </w:r>
          </w:p>
        </w:tc>
        <w:tc>
          <w:tcPr>
            <w:tcW w:w="1728" w:type="dxa"/>
          </w:tcPr>
          <w:p w14:paraId="6B5D1381">
            <w:pPr>
              <w:spacing w:after="0" w:line="240" w:lineRule="auto"/>
            </w:pPr>
            <w:r>
              <w:rPr>
                <w:b/>
                <w:sz w:val="18"/>
              </w:rPr>
              <w:t>*p*</w:t>
            </w:r>
          </w:p>
        </w:tc>
      </w:tr>
      <w:tr w14:paraId="6B47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B1E779">
            <w:pPr>
              <w:spacing w:after="0" w:line="240" w:lineRule="auto"/>
            </w:pPr>
            <w:r>
              <w:rPr>
                <w:sz w:val="18"/>
              </w:rPr>
              <w:t>1 自主方向与价值认同</w:t>
            </w:r>
          </w:p>
        </w:tc>
        <w:tc>
          <w:tcPr>
            <w:tcW w:w="1728" w:type="dxa"/>
          </w:tcPr>
          <w:p w14:paraId="3E243E12">
            <w:pPr>
              <w:spacing w:after="0" w:line="240" w:lineRule="auto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6078116D">
            <w:pPr>
              <w:spacing w:after="0" w:line="240" w:lineRule="auto"/>
            </w:pPr>
            <w:r>
              <w:rPr>
                <w:sz w:val="18"/>
              </w:rPr>
              <w:t>0.64</w:t>
            </w:r>
          </w:p>
        </w:tc>
        <w:tc>
          <w:tcPr>
            <w:tcW w:w="1728" w:type="dxa"/>
          </w:tcPr>
          <w:p w14:paraId="2E01391A">
            <w:pPr>
              <w:spacing w:after="0" w:line="240" w:lineRule="auto"/>
            </w:pPr>
            <w:r>
              <w:rPr>
                <w:sz w:val="18"/>
              </w:rPr>
              <w:t>0.61 [0.39, 0.97]</w:t>
            </w:r>
          </w:p>
        </w:tc>
        <w:tc>
          <w:tcPr>
            <w:tcW w:w="1728" w:type="dxa"/>
          </w:tcPr>
          <w:p w14:paraId="0351FB28">
            <w:pPr>
              <w:spacing w:after="0" w:line="240" w:lineRule="auto"/>
            </w:pPr>
            <w:r>
              <w:rPr>
                <w:sz w:val="18"/>
              </w:rPr>
              <w:t>.034</w:t>
            </w:r>
          </w:p>
        </w:tc>
      </w:tr>
      <w:tr w14:paraId="453F5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35A614">
            <w:pPr>
              <w:spacing w:after="0" w:line="240" w:lineRule="auto"/>
            </w:pPr>
            <w:r>
              <w:rPr>
                <w:sz w:val="18"/>
              </w:rPr>
              <w:t>2 好奇与主动探索</w:t>
            </w:r>
          </w:p>
        </w:tc>
        <w:tc>
          <w:tcPr>
            <w:tcW w:w="1728" w:type="dxa"/>
          </w:tcPr>
          <w:p w14:paraId="7BB5E8B3">
            <w:pPr>
              <w:spacing w:after="0" w:line="240" w:lineRule="auto"/>
            </w:pPr>
            <w:r>
              <w:rPr>
                <w:sz w:val="18"/>
              </w:rPr>
              <w:t>0.55</w:t>
            </w:r>
          </w:p>
        </w:tc>
        <w:tc>
          <w:tcPr>
            <w:tcW w:w="1728" w:type="dxa"/>
          </w:tcPr>
          <w:p w14:paraId="77BAB167">
            <w:pPr>
              <w:spacing w:after="0" w:line="240" w:lineRule="auto"/>
            </w:pPr>
            <w:r>
              <w:rPr>
                <w:sz w:val="18"/>
              </w:rPr>
              <w:t>0.14</w:t>
            </w:r>
          </w:p>
        </w:tc>
        <w:tc>
          <w:tcPr>
            <w:tcW w:w="1728" w:type="dxa"/>
          </w:tcPr>
          <w:p w14:paraId="6C2065DA">
            <w:pPr>
              <w:spacing w:after="0" w:line="240" w:lineRule="auto"/>
            </w:pPr>
            <w:r>
              <w:rPr>
                <w:sz w:val="18"/>
              </w:rPr>
              <w:t>0.25 [0.10, 0.64]</w:t>
            </w:r>
          </w:p>
        </w:tc>
        <w:tc>
          <w:tcPr>
            <w:tcW w:w="1728" w:type="dxa"/>
          </w:tcPr>
          <w:p w14:paraId="69F10992">
            <w:pPr>
              <w:spacing w:after="0" w:line="240" w:lineRule="auto"/>
            </w:pPr>
            <w:r>
              <w:rPr>
                <w:sz w:val="18"/>
              </w:rPr>
              <w:t>.003</w:t>
            </w:r>
          </w:p>
        </w:tc>
      </w:tr>
      <w:tr w14:paraId="7B19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6389B3">
            <w:pPr>
              <w:spacing w:after="0" w:line="240" w:lineRule="auto"/>
            </w:pPr>
            <w:r>
              <w:rPr>
                <w:sz w:val="18"/>
              </w:rPr>
              <w:t>3 信息接纳与过滤</w:t>
            </w:r>
          </w:p>
        </w:tc>
        <w:tc>
          <w:tcPr>
            <w:tcW w:w="1728" w:type="dxa"/>
          </w:tcPr>
          <w:p w14:paraId="5D7C527B">
            <w:pPr>
              <w:spacing w:after="0" w:line="240" w:lineRule="auto"/>
            </w:pPr>
            <w:r>
              <w:rPr>
                <w:sz w:val="18"/>
              </w:rPr>
              <w:t>0.09</w:t>
            </w:r>
          </w:p>
        </w:tc>
        <w:tc>
          <w:tcPr>
            <w:tcW w:w="1728" w:type="dxa"/>
          </w:tcPr>
          <w:p w14:paraId="70691E89">
            <w:pPr>
              <w:spacing w:after="0" w:line="240" w:lineRule="auto"/>
            </w:pPr>
            <w:r>
              <w:rPr>
                <w:sz w:val="18"/>
              </w:rPr>
              <w:t>0.06</w:t>
            </w:r>
          </w:p>
        </w:tc>
        <w:tc>
          <w:tcPr>
            <w:tcW w:w="1728" w:type="dxa"/>
          </w:tcPr>
          <w:p w14:paraId="7F0D7B96">
            <w:pPr>
              <w:spacing w:after="0" w:line="240" w:lineRule="auto"/>
            </w:pPr>
            <w:r>
              <w:rPr>
                <w:sz w:val="18"/>
              </w:rPr>
              <w:t>0.61 [0.13, 2.83]</w:t>
            </w:r>
          </w:p>
        </w:tc>
        <w:tc>
          <w:tcPr>
            <w:tcW w:w="1728" w:type="dxa"/>
          </w:tcPr>
          <w:p w14:paraId="2B93DB4D">
            <w:pPr>
              <w:spacing w:after="0" w:line="240" w:lineRule="auto"/>
            </w:pPr>
            <w:r>
              <w:rPr>
                <w:sz w:val="18"/>
              </w:rPr>
              <w:t>.529</w:t>
            </w:r>
          </w:p>
        </w:tc>
      </w:tr>
      <w:tr w14:paraId="170C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6D4A0E">
            <w:pPr>
              <w:spacing w:after="0" w:line="240" w:lineRule="auto"/>
            </w:pPr>
            <w:r>
              <w:rPr>
                <w:sz w:val="18"/>
              </w:rPr>
              <w:t>4 联结与问题重构</w:t>
            </w:r>
          </w:p>
        </w:tc>
        <w:tc>
          <w:tcPr>
            <w:tcW w:w="1728" w:type="dxa"/>
          </w:tcPr>
          <w:p w14:paraId="5092AA1A">
            <w:pPr>
              <w:spacing w:after="0" w:line="240" w:lineRule="auto"/>
            </w:pPr>
            <w:r>
              <w:rPr>
                <w:sz w:val="18"/>
              </w:rPr>
              <w:t>0.47</w:t>
            </w:r>
          </w:p>
        </w:tc>
        <w:tc>
          <w:tcPr>
            <w:tcW w:w="1728" w:type="dxa"/>
          </w:tcPr>
          <w:p w14:paraId="536FA53E">
            <w:pPr>
              <w:spacing w:after="0" w:line="240" w:lineRule="auto"/>
            </w:pPr>
            <w:r>
              <w:rPr>
                <w:sz w:val="18"/>
              </w:rPr>
              <w:t>0.33</w:t>
            </w:r>
          </w:p>
        </w:tc>
        <w:tc>
          <w:tcPr>
            <w:tcW w:w="1728" w:type="dxa"/>
          </w:tcPr>
          <w:p w14:paraId="43744634">
            <w:pPr>
              <w:spacing w:after="0" w:line="240" w:lineRule="auto"/>
            </w:pPr>
            <w:r>
              <w:rPr>
                <w:sz w:val="18"/>
              </w:rPr>
              <w:t>0.70 [0.37, 1.32]</w:t>
            </w:r>
          </w:p>
        </w:tc>
        <w:tc>
          <w:tcPr>
            <w:tcW w:w="1728" w:type="dxa"/>
          </w:tcPr>
          <w:p w14:paraId="5A2A2C06">
            <w:pPr>
              <w:spacing w:after="0" w:line="240" w:lineRule="auto"/>
            </w:pPr>
            <w:r>
              <w:rPr>
                <w:sz w:val="18"/>
              </w:rPr>
              <w:t>.274</w:t>
            </w:r>
          </w:p>
        </w:tc>
      </w:tr>
      <w:tr w14:paraId="0F71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087E50">
            <w:pPr>
              <w:spacing w:after="0" w:line="240" w:lineRule="auto"/>
            </w:pPr>
            <w:r>
              <w:rPr>
                <w:sz w:val="18"/>
              </w:rPr>
              <w:t>5 独立判断与认知调节</w:t>
            </w:r>
          </w:p>
        </w:tc>
        <w:tc>
          <w:tcPr>
            <w:tcW w:w="1728" w:type="dxa"/>
          </w:tcPr>
          <w:p w14:paraId="639E2987">
            <w:pPr>
              <w:spacing w:after="0" w:line="240" w:lineRule="auto"/>
            </w:pPr>
            <w:r>
              <w:rPr>
                <w:sz w:val="18"/>
              </w:rPr>
              <w:t>0.09</w:t>
            </w:r>
          </w:p>
        </w:tc>
        <w:tc>
          <w:tcPr>
            <w:tcW w:w="1728" w:type="dxa"/>
          </w:tcPr>
          <w:p w14:paraId="76D95295">
            <w:pPr>
              <w:spacing w:after="0" w:line="240" w:lineRule="auto"/>
            </w:pPr>
            <w:r>
              <w:rPr>
                <w:sz w:val="18"/>
              </w:rPr>
              <w:t>0.03</w:t>
            </w:r>
          </w:p>
        </w:tc>
        <w:tc>
          <w:tcPr>
            <w:tcW w:w="1728" w:type="dxa"/>
          </w:tcPr>
          <w:p w14:paraId="4A2105E1">
            <w:pPr>
              <w:spacing w:after="0" w:line="240" w:lineRule="auto"/>
            </w:pPr>
            <w:r>
              <w:rPr>
                <w:sz w:val="18"/>
              </w:rPr>
              <w:t>0.31 [0.04, 2.41]</w:t>
            </w:r>
          </w:p>
        </w:tc>
        <w:tc>
          <w:tcPr>
            <w:tcW w:w="1728" w:type="dxa"/>
          </w:tcPr>
          <w:p w14:paraId="76240681">
            <w:pPr>
              <w:spacing w:after="0" w:line="240" w:lineRule="auto"/>
            </w:pPr>
            <w:r>
              <w:rPr>
                <w:sz w:val="18"/>
              </w:rPr>
              <w:t>.261</w:t>
            </w:r>
          </w:p>
        </w:tc>
      </w:tr>
      <w:tr w14:paraId="33B15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981563">
            <w:pPr>
              <w:spacing w:after="0" w:line="240" w:lineRule="auto"/>
            </w:pPr>
            <w:r>
              <w:rPr>
                <w:sz w:val="18"/>
              </w:rPr>
              <w:t>6 自主投入与迭代实现</w:t>
            </w:r>
          </w:p>
        </w:tc>
        <w:tc>
          <w:tcPr>
            <w:tcW w:w="1728" w:type="dxa"/>
          </w:tcPr>
          <w:p w14:paraId="6CB1B623">
            <w:pPr>
              <w:spacing w:after="0" w:line="240" w:lineRule="auto"/>
            </w:pPr>
            <w:r>
              <w:rPr>
                <w:sz w:val="18"/>
              </w:rPr>
              <w:t>1.32</w:t>
            </w:r>
          </w:p>
        </w:tc>
        <w:tc>
          <w:tcPr>
            <w:tcW w:w="1728" w:type="dxa"/>
          </w:tcPr>
          <w:p w14:paraId="38924380">
            <w:pPr>
              <w:spacing w:after="0" w:line="240" w:lineRule="auto"/>
            </w:pPr>
            <w:r>
              <w:rPr>
                <w:sz w:val="18"/>
              </w:rPr>
              <w:t>1.17</w:t>
            </w:r>
          </w:p>
        </w:tc>
        <w:tc>
          <w:tcPr>
            <w:tcW w:w="1728" w:type="dxa"/>
          </w:tcPr>
          <w:p w14:paraId="61123ACE">
            <w:pPr>
              <w:spacing w:after="0" w:line="240" w:lineRule="auto"/>
            </w:pPr>
            <w:r>
              <w:rPr>
                <w:sz w:val="18"/>
              </w:rPr>
              <w:t>0.88 [0.62, 1.25]</w:t>
            </w:r>
          </w:p>
        </w:tc>
        <w:tc>
          <w:tcPr>
            <w:tcW w:w="1728" w:type="dxa"/>
          </w:tcPr>
          <w:p w14:paraId="489D42AA">
            <w:pPr>
              <w:spacing w:after="0" w:line="240" w:lineRule="auto"/>
            </w:pPr>
            <w:r>
              <w:rPr>
                <w:sz w:val="18"/>
              </w:rPr>
              <w:t>.478</w:t>
            </w:r>
          </w:p>
        </w:tc>
      </w:tr>
    </w:tbl>
    <w:p w14:paraId="3BD3E3FC"/>
    <w:p w14:paraId="5EECD0A3">
      <w:pPr>
        <w:pStyle w:val="5"/>
      </w:pPr>
      <w:r>
        <w:t>5.4 小结</w:t>
      </w:r>
    </w:p>
    <w:p w14:paraId="406F6977">
      <w:r>
        <w:t>假设 3 大体成立但需修正：（3a）总体格局为探索与好奇偏早、判断与投入偏晚，但第一维度呈窗口型分布而非单调递增；（3b）两群体构成相似而侧重不同，差异方向与文体特征一致，不能直接归于群体差异；（3c）学历与探索类证据负相关，方向可信但证据基础薄弱。</w:t>
      </w:r>
    </w:p>
    <w:p w14:paraId="24087C2B">
      <w:pPr>
        <w:pStyle w:val="4"/>
      </w:pPr>
      <w:r>
        <w:t>6 讨论</w:t>
      </w:r>
    </w:p>
    <w:p w14:paraId="39406E19">
      <w:pPr>
        <w:pStyle w:val="5"/>
      </w:pPr>
      <w:r>
        <w:t>6.1 三个问题的回答</w:t>
      </w:r>
    </w:p>
    <w:p w14:paraId="06B6B4F2">
      <w:r>
        <w:rPr>
          <w:b/>
        </w:rPr>
        <w:t>可观测性部分成立。</w:t>
      </w:r>
      <w:r>
        <w:t xml:space="preserve"> 22 项指标在原型样本中有可用证据，引语可核实率达 99%，说明"从叙述提取行为证据"这条路可行；但可用性须按指标分层——5 项依赖第三方评价或修改记录的指标几乎不出现，方向与认同类指标以表态为主。</w:t>
      </w:r>
    </w:p>
    <w:p w14:paraId="0AB3E714">
      <w:r>
        <w:rPr>
          <w:b/>
        </w:rPr>
        <w:t>结构效度不成立。</w:t>
      </w:r>
      <w:r>
        <w:t xml:space="preserve"> 同维相关仅略高于跨维，因子个数随相关类型在 2 至 8 间浮动，六因子模型未达可接受拟合，维度内部一致性均低于 .70。数据支持的是至少两个内容簇，而非六个可分别计分的维度。</w:t>
      </w:r>
    </w:p>
    <w:p w14:paraId="7A920B9B">
      <w:r>
        <w:rPr>
          <w:b/>
        </w:rPr>
        <w:t>发展顺序大体成立，但一条曲线需修正。</w:t>
      </w:r>
      <w:r>
        <w:t xml:space="preserve"> 71% 的指标方向符合预期，两群体构成高度相似而侧重不同，学历与探索类证据负相关；唯一偏离的是方向与认同类指标，其证据呈窗口型。</w:t>
      </w:r>
    </w:p>
    <w:p w14:paraId="797BDC2F">
      <w:r>
        <w:t>三项答案合起来给出一个明确的判断：这套指标</w:t>
      </w:r>
      <w:r>
        <w:rPr>
          <w:b/>
        </w:rPr>
        <w:t>能测到东西，但测到的东西不构成六个维度，其发展形态也只有部分符合预期</w:t>
      </w:r>
      <w:r>
        <w:t>。</w:t>
      </w:r>
    </w:p>
    <w:p w14:paraId="28973B03">
      <w:pPr>
        <w:pStyle w:val="5"/>
      </w:pPr>
      <w:r>
        <w:t>6.2 理论意涵</w:t>
      </w:r>
    </w:p>
    <w:p w14:paraId="3DB2709B">
      <w:r>
        <w:rPr>
          <w:b/>
        </w:rPr>
        <w:t>形成性指标与反映性量表的区别决定了这些数字的读法。</w:t>
      </w:r>
      <w:r>
        <w:t xml:space="preserve"> 反映性量表假设题目是同一特质的表达，故内部一致性是核心证据；形成性指标假设指标共同构成所要测量的范畴，指标间不必然相关。本研究的低相关与低 α 在反映性框架下是致命的，在形成性框架下则是可预期的。两个实务后果：不能将指标加总为总分；若要用维度分作推论，须先证明各成分对效标有独立贡献。</w:t>
      </w:r>
    </w:p>
    <w:p w14:paraId="53BA003F">
      <w:r>
        <w:rPr>
          <w:b/>
        </w:rPr>
        <w:t>文本中的出现率是叙述机会的函数。</w:t>
      </w:r>
      <w:r>
        <w:t xml:space="preserve"> 46.3% 的判断共用同一句引语，说明自然语言并不按指标清单分割行为；两群体构成差异的方向又与文体惯例吻合。故跨来源比较必须先证明构成不随篇幅（已证）且不随文体漂移（未证），后者只能以同一群体的多文体材料检验。</w:t>
      </w:r>
    </w:p>
    <w:p w14:paraId="5A1C26E6">
      <w:r>
        <w:rPr>
          <w:b/>
        </w:rPr>
        <w:t>阶段曲线不宜读作能力增长曲线。</w:t>
      </w:r>
      <w:r>
        <w:t xml:space="preserve"> 方向与认同类指标的峰值在本科，若按单调递增的先验使用，会将"看不见"误读为"低水平"。更合理的定位是窗口期指标——对应发展任务而非能力特质，应在本科阶段集中测量。</w:t>
      </w:r>
    </w:p>
    <w:p w14:paraId="32F2DDA8">
      <w:pPr>
        <w:pStyle w:val="5"/>
      </w:pPr>
      <w:r>
        <w:t>6.3 局限</w:t>
      </w:r>
    </w:p>
    <w:p w14:paraId="2FC63A8D">
      <w:r>
        <w:rPr>
          <w:b/>
        </w:rPr>
        <w:t>判断准确性未经验证。</w:t>
      </w:r>
      <w:r>
        <w:t xml:space="preserve"> 引语可核实率 99% 只说明编码者未凭空生成证据，不说明判断正确；一句话是否构成某项指标的行为证据仍需人工裁决。全部数据为单一编码者的结果，在完成双编码并达到可接受一致性之前（指标级 κ ≥ .60、等级加权 κ ≥ .70），本文数字应视为初步结果。</w:t>
      </w:r>
    </w:p>
    <w:p w14:paraId="749E5740">
      <w:r>
        <w:rPr>
          <w:b/>
        </w:rPr>
        <w:t>缺少对照组。</w:t>
      </w:r>
      <w:r>
        <w:t xml:space="preserve"> 两组均为成功者，只能回答"这些人身上出现了什么"，无法回答"这些特征在多大程度上区分创新者与非创新者"。区分力需要创新者与非创新者的两个基础率，本研究只有前者，这是不给权重的唯一原因。</w:t>
      </w:r>
    </w:p>
    <w:p w14:paraId="4B2C474C">
      <w:r>
        <w:rPr>
          <w:b/>
        </w:rPr>
        <w:t>文体与来源混杂。</w:t>
      </w:r>
      <w:r>
        <w:t xml:space="preserve"> 学生组为第三人称报道，得主组为第一人称自传与访谈，第一人称比例本身与指标数相关，故跨组差异中群体效应与文体效应无法分离。</w:t>
      </w:r>
    </w:p>
    <w:p w14:paraId="168F7DCB">
      <w:r>
        <w:rPr>
          <w:b/>
        </w:rPr>
        <w:t>篇幅不可比。</w:t>
      </w:r>
      <w:r>
        <w:t xml:space="preserve"> 构成法保证了可比性，却丢弃密度信息，无法回答"同等篇幅下谁的行为证据更多"。</w:t>
      </w:r>
    </w:p>
    <w:p w14:paraId="750DCDF3">
      <w:r>
        <w:rPr>
          <w:b/>
        </w:rPr>
        <w:t>指标存在先天缺口且样本经过筛选。</w:t>
      </w:r>
      <w:r>
        <w:t xml:space="preserve"> 四项需实验任务的指标记为缺失，致第三维度仅余一项，六维结构检验天然缺一条腿；联合访谈切分后信息不足的 9 位得主与材料被判为荣誉罗列的 6 名学生未纳入，样本可能与表达能力相关。</w:t>
      </w:r>
    </w:p>
    <w:p w14:paraId="58FA08B0">
      <w:r>
        <w:rPr>
          <w:b/>
        </w:rPr>
        <w:t>附加检验的结论。</w:t>
      </w:r>
      <w:r>
        <w:t xml:space="preserve"> 事先设定的六条稳健性标准（可观测、非表态、可区分、归属本类、篇幅稳健、跨组稳定）下，29 项中 12 项稳健、11 项有缺陷、6 项测不到，第五维度无一项稳健；采用"逐字相同引语只计最高等级"的去重口径后，行为级证据仅减少 5.9%，主要结论未变。这些结果支持上述判断，不改变主线。</w:t>
      </w:r>
    </w:p>
    <w:p w14:paraId="7F29658D">
      <w:pPr>
        <w:pStyle w:val="5"/>
      </w:pPr>
      <w:r>
        <w:t>6.4 下一步</w:t>
      </w:r>
    </w:p>
    <w:p w14:paraId="4E5FB27B">
      <w:r>
        <w:rPr>
          <w:b/>
        </w:rPr>
        <w:t>建立编码信度</w:t>
      </w:r>
      <w:r>
        <w:t>（前置条件）。分层抽取 40 份材料双人独立编码，计算指标级 κ 与等级加权 κ，达标后本文数字才具可引用性；不达标者修改锚点描述或剔除。</w:t>
      </w:r>
    </w:p>
    <w:p w14:paraId="277B220E">
      <w:r>
        <w:rPr>
          <w:b/>
        </w:rPr>
        <w:t>在独立样本上检验结构</w:t>
      </w:r>
      <w:r>
        <w:t>。以 WLSMV 估计直接比较六因子与两因子模型，避免同一数据既探索又验证；若两因子仍优，六维划分应改为"两类内容 + 六个内容标签"的表述。</w:t>
      </w:r>
    </w:p>
    <w:p w14:paraId="5A0010C2">
      <w:r>
        <w:rPr>
          <w:b/>
        </w:rPr>
        <w:t>补会聚与区分效度</w:t>
      </w:r>
      <w:r>
        <w:t>。将可观测性高的指标与好奇心与探索量表、简版坚毅、创造性自我效能，以及多用途任务、中文远距离联想测验置于同一样本。</w:t>
      </w:r>
    </w:p>
    <w:p w14:paraId="220031D3">
      <w:r>
        <w:rPr>
          <w:b/>
        </w:rPr>
        <w:t>引入对照组以估计区分力</w:t>
      </w:r>
      <w:r>
        <w:t>。在同校、同专业、同年级招募创新组与对照组各约 150 人（创新组以第一作者论文、授权专利或省级以上科创竞赛奖入组、学校记录核实），以书面行为事件自述加量表加任务施测。</w:t>
      </w:r>
    </w:p>
    <w:p w14:paraId="2BF27A07">
      <w:r>
        <w:rPr>
          <w:b/>
        </w:rPr>
        <w:t>分离文体效应</w:t>
      </w:r>
      <w:r>
        <w:t>。采集同一批学生的第一人称叙述与第三人称报道，比较同一指标在两种文体下的出现率，这是把叙述机会与特质强度分开的唯一途径。</w:t>
      </w:r>
    </w:p>
    <w:p w14:paraId="41043E76">
      <w:pPr>
        <w:pStyle w:val="4"/>
      </w:pPr>
      <w:r>
        <w:t>参考文献</w:t>
      </w:r>
    </w:p>
    <w:p w14:paraId="327DDEF5">
      <w:r>
        <w:t>Amabile, T. M. (1996). *Creativity in context*. Westview Press.</w:t>
      </w:r>
    </w:p>
    <w:p w14:paraId="4B8B572B">
      <w:r>
        <w:t>Guilford, J. P. (1950). Creativity. *American Psychologist, 5*(9), 444–454.</w:t>
      </w:r>
    </w:p>
    <w:p w14:paraId="42ABC069">
      <w:r>
        <w:t>Horn, J. L. (1965). A rationale and test for the number of factors in factor analysis. *Psychometrika, 30*(2), 179–185.</w:t>
      </w:r>
    </w:p>
    <w:p w14:paraId="051F7EC8">
      <w:r>
        <w:t>Hu, L., &amp; Bentler, P. M. (1999). Cutoff criteria for fit indexes in covariance structure analysis. *Structural Equation Modeling, 6*(1), 1–55.</w:t>
      </w:r>
    </w:p>
    <w:p w14:paraId="7515EE5D">
      <w:r>
        <w:t>McDonald, R. P. (1999). *Test theory: A unified treatment*. Lawrence Erlbaum.</w:t>
      </w:r>
    </w:p>
    <w:p w14:paraId="31DA3545">
      <w:r>
        <w:t>Olsson, U. (1979). Maximum likelihood estimation of the polychoric correlation coefficient. *Psychometrika, 44*(4), 443–460.</w:t>
      </w:r>
    </w:p>
    <w:p w14:paraId="5A99AC41">
      <w:r>
        <w:t>Podsakoff, P. M., MacKenzie, S. B., Lee, J.-Y., &amp; Podsakoff, N. P. (2003). Common method biases in behavioral research. *Journal of Applied Psychology, 88*(5), 879–903.</w:t>
      </w:r>
    </w:p>
    <w:p w14:paraId="56160759">
      <w:r>
        <w:t>Renzulli, J. S. (1978). What makes giftedness? Reexamining a definition. *Phi Delta Kappan, 60*(3), 180–184.</w:t>
      </w:r>
    </w:p>
    <w:p w14:paraId="2A1F57C3">
      <w:r>
        <w:t>Simonton, D. K. (2000). Creativity: Cognitive, personal, developmental, and social aspects. *American Psychologist, 55*(1), 151–158.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F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2953</Words>
  <Characters>3270</Characters>
  <Lines>0</Lines>
  <Paragraphs>0</Paragraphs>
  <TotalTime>1</TotalTime>
  <ScaleCrop>false</ScaleCrop>
  <LinksUpToDate>false</LinksUpToDate>
  <CharactersWithSpaces>3429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★琉璃碎☆</cp:lastModifiedBy>
  <dcterms:modified xsi:type="dcterms:W3CDTF">2026-10-30T15:21:37Z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eyJoZGlkIjoiZTYxOWI2YzgzZDY3OTZiYjI2Njc5YjE4NmQxN2JjODIiLCJ1c2VySWQiOiI2MjI5NTE1OTAifQ==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49C35F87BCB844B9997458B013D325EA_12</vt:lpwstr>
  </property>
</Properties>
</file>