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创新人才识别模型 v0.3</w:t>
      </w:r>
    </w:p>
    <w:p>
      <w:pPr>
        <w:pStyle w:val="Heading2"/>
      </w:pPr>
      <w:r>
        <w:t>——基于成长叙述检验的修订与后续测量方案</w:t>
      </w:r>
    </w:p>
    <w:p>
      <w:r>
        <w:rPr>
          <w:b/>
        </w:rPr>
        <w:t>摘要</w:t>
      </w:r>
      <w:r>
        <w:t xml:space="preserve">　为检验创新人才识别模型的 29 项可文本编码指标能否从成长叙述中测量，前期采集了 353 人（国内获奖学生 137 人，诺贝尔奖得主 216 人）的公开叙述，经大语言模型逐人编码得到 3 550 条带原文引语的判断。检验显示：多数指标可获得行为证据，但可观测性高度不均；六维结构未获支持，数据更接近两个内容簇；阶段趋势大体符合先验，方向与认同类指标除外。据此，v0.3 作三项修订：结构由六个可分别计分的维度改为“两域 + 内容面”的形成性结构；合并四组语义重叠的指标，并按指标分配测量方法，文本行为证据只承担 12 项核心指标；方向与认同类指标的阶段假设由递增型改为窗口型。后续研究分三步：建立编码信度，在国内大学生中开展含对照组的多方法施测并估计初步权重，作纵向追踪。</w:t>
      </w:r>
    </w:p>
    <w:p>
      <w:r>
        <w:rPr>
          <w:b/>
        </w:rPr>
        <w:t>关键词</w:t>
      </w:r>
      <w:r>
        <w:t xml:space="preserve">　创新人才识别　行为指标　结构效度　测量方法　模型修订</w:t>
      </w:r>
    </w:p>
    <w:p>
      <w:pPr>
        <w:pStyle w:val="Heading2"/>
      </w:pPr>
      <w:r>
        <w:t>1 前期工作</w:t>
      </w:r>
    </w:p>
    <w:p>
      <w:pPr>
        <w:pStyle w:val="Heading3"/>
      </w:pPr>
      <w:r>
        <w:t>1.1 材料</w:t>
      </w:r>
    </w:p>
    <w:p>
      <w:r>
        <w:t>研究对象分两组。</w:t>
      </w:r>
      <w:r>
        <w:rPr>
          <w:b/>
        </w:rPr>
        <w:t>获奖学生</w:t>
      </w:r>
      <w:r>
        <w:t>（n = 137，材料 150 篇）：清华大学等高校最高荣誉的答辩实录与专访、国家奖学金人物通讯，只保留写到具体过程或做法的文本，篇幅中位 738 字。</w:t>
      </w:r>
      <w:r>
        <w:rPr>
          <w:b/>
        </w:rPr>
        <w:t>诺贝尔奖得主</w:t>
      </w:r>
      <w:r>
        <w:t>（n = 216，材料 245 篇）：物理、化学、生理学或医学奖得主的本人自传与深度访谈文字稿，排除获奖当天的电话访谈，多人联合访谈按发言人切分后只保留本人发言，篇幅中位 26 006 字符。学生组是目标人群，得主组是已被外部效标确认的原型参照，二者不构成创新—非创新的对照。</w:t>
      </w:r>
    </w:p>
    <w:p>
      <w:pPr>
        <w:pStyle w:val="Heading3"/>
      </w:pPr>
      <w:r>
        <w:t>1.2 编码与质量控制</w:t>
      </w:r>
    </w:p>
    <w:p>
      <w:r>
        <w:t>编码由大语言模型（deepseek-v4-flash，温度 0）按统一提示词完成，以人为单位。每项指标记为 2（写出具体情境中的做法）、1（仅有特征或态度的概括）或未体现，并记录行为发生的人生阶段与一句原文引语。质量控制三项：编码前删除荣誉罗列句以减少光环效应；引语逐条回核，99.0% 可在原文中逐字找到；标记与其他指标共用的引语，用以刻画指标间的重叠。两组篇幅分布不重叠，跨组比较只比构成（某维度占本组全部行为证据的比例），该比例在组内不随篇幅变化（最短与最长三分位的秩相关为 .83 与 .99）。</w:t>
      </w:r>
    </w:p>
    <w:p>
      <w:pPr>
        <w:pStyle w:val="Heading3"/>
      </w:pPr>
      <w:r>
        <w:t>1.3 主要结果</w:t>
      </w:r>
    </w:p>
    <w:p>
      <w:pPr>
        <w:pStyle w:val="ListBullet"/>
      </w:pPr>
      <w:r>
        <w:rPr>
          <w:b/>
        </w:rPr>
        <w:t>可观测性</w:t>
      </w:r>
      <w:r>
        <w:t>：得主组 22 项指标在三成以上个体中有行为证据；问题新颖性、休息后的顿悟、作品修改增益等 5 项几乎不出现；方向与认同类指标以表态为主。</w:t>
      </w:r>
    </w:p>
    <w:p>
      <w:pPr>
        <w:pStyle w:val="ListBullet"/>
      </w:pPr>
      <w:r>
        <w:rPr>
          <w:b/>
        </w:rPr>
        <w:t>结构</w:t>
      </w:r>
      <w:r>
        <w:t>：同维相关仅略高于跨维（.105 比 .081）；因子个数在 2 至 8 之间不定；六因子模型 CFI = .812；维度内部一致性 .42—.65。数据更接近“问题发现与求解”“方向、动机与投入”两个内容簇。</w:t>
      </w:r>
    </w:p>
    <w:p>
      <w:pPr>
        <w:pStyle w:val="ListBullet"/>
      </w:pPr>
      <w:r>
        <w:rPr>
          <w:b/>
        </w:rPr>
        <w:t>发展</w:t>
      </w:r>
      <w:r>
        <w:t>：21 项可判断方向的指标中 15 项与先验一致；方向与认同类指标峰值在本科。</w:t>
      </w:r>
    </w:p>
    <w:p>
      <w:pPr>
        <w:pStyle w:val="ListBullet"/>
      </w:pPr>
      <w:r>
        <w:rPr>
          <w:b/>
        </w:rPr>
        <w:t>群体与学历</w:t>
      </w:r>
      <w:r>
        <w:t>：两组构成高度相似（ρ = .84），差异方向与文体惯例吻合；学生组内研究生的好奇与探索类证据为本科生的 0.25 倍。</w:t>
      </w:r>
    </w:p>
    <w:p>
      <w:r>
        <w:t>由此判断：该指标体系在描述层面可用，在结构与推论层面尚不成立。以下各节逐项说明据此所作的修订。</w:t>
      </w:r>
    </w:p>
    <w:p>
      <w:pPr>
        <w:pStyle w:val="Heading2"/>
      </w:pPr>
      <w:r>
        <w:t>2 修订一：结构由六维改为两域 + 内容面</w:t>
      </w:r>
    </w:p>
    <w:p>
      <w:pPr>
        <w:pStyle w:val="Heading3"/>
      </w:pPr>
      <w:r>
        <w:t>2.1 数据依据</w:t>
      </w:r>
    </w:p>
    <w:p>
      <w:r>
        <w:t>六维结构的三条判据均未满足（表 1）。相关层面，同维度指标平均偏相关 .105，跨维度 .081，差值仅 .024。因子层面，平行分析以 Pearson 相关保留 2 个因子，以四分相关保留 8 个，因子个数本身不稳健（图 1）；验证性因素分析中六因子模型 CFI = .812，单因子与两因子更低，无一达到 .90。信度层面，五个可估维度的 α 与 ω 均低于 .70。</w:t>
      </w:r>
    </w:p>
    <w:p>
      <w:r>
        <w:t>表 1　六维结构的检验结果（得主组，n = 216）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预期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同维相关高于跨维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明显高于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.105 比 .081（差值 .024）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六因子模型拟合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CFI ≥ .90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CFI = .812，TLI = .790；BIC 偏好两因子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维度内部一致性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α、ω ≥ .70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α .42—.54，ω .47—.55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ree_parall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　碎石图与平行分析（诺贝尔奖得主组）：实线为实际特征值，虚线为随机数据 95 分位门槛</w:t>
      </w:r>
    </w:p>
    <w:p>
      <w:r>
        <w:t>两因子解可以清楚解释：第一因子由问题重新表征（.63）、根据反证更新判断（.57）、自发提问（.56）、突破定势（.54）等主导；第二因子由目标清晰度（.54）、目标自我一致性（.45）、领域身份认同（.44）、自主性动机（.43）、自发项目（.33）、持续投入（.30）主导。两个因子跨越原有六维：第一因子汇总第二至第五维度的问题类指标，第二因子汇总第一、第六维度的方向投入类指标。</w:t>
      </w:r>
    </w:p>
    <w:p>
      <w:pPr>
        <w:pStyle w:val="Heading3"/>
      </w:pPr>
      <w:r>
        <w:t>2.2 调整</w:t>
      </w:r>
    </w:p>
    <w:p>
      <w:pPr>
        <w:pStyle w:val="ListBullet"/>
      </w:pPr>
      <w:r>
        <w:rPr>
          <w:b/>
        </w:rPr>
        <w:t>域 A　方向与投入</w:t>
      </w:r>
      <w:r>
        <w:t>：原第一、六类，回答“为什么做、是否持续做”。</w:t>
      </w:r>
    </w:p>
    <w:p>
      <w:pPr>
        <w:pStyle w:val="ListBullet"/>
      </w:pPr>
      <w:r>
        <w:rPr>
          <w:b/>
        </w:rPr>
        <w:t>域 B　问题发现与求解</w:t>
      </w:r>
      <w:r>
        <w:t>：原第二至第五类，回答“如何发现、重构、验证问题”。</w:t>
      </w:r>
    </w:p>
    <w:p>
      <w:pPr>
        <w:pStyle w:val="ListBullet"/>
      </w:pPr>
      <w:r>
        <w:rPr>
          <w:b/>
        </w:rPr>
        <w:t>内容面</w:t>
      </w:r>
      <w:r>
        <w:t>：原六类保留为内容标签，用于描述与指标筛选，不单独计分，不加总为维度分。</w:t>
      </w:r>
    </w:p>
    <w:p>
      <w:r>
        <w:t>两域按形成性构念处理：域内指标不要求高度相关，域得分的使用须以对效标的独立贡献为前提。两域与六面何者更优，留待独立样本的验证性因素分析判定。</w:t>
      </w:r>
    </w:p>
    <w:p>
      <w:pPr>
        <w:pStyle w:val="Heading2"/>
      </w:pPr>
      <w:r>
        <w:t>3 修订二：指标合并与测量方法分配</w:t>
      </w:r>
    </w:p>
    <w:p>
      <w:pPr>
        <w:pStyle w:val="Heading3"/>
      </w:pPr>
      <w:r>
        <w:t>3.1 数据依据</w:t>
      </w:r>
    </w:p>
    <w:p>
      <w:r>
        <w:rPr>
          <w:b/>
        </w:rPr>
        <w:t>可观测性不均。</w:t>
      </w:r>
      <w:r>
        <w:t xml:space="preserve"> 指标在得主组的观测率从 4.2% 到 81.0% 不等（图 2）。按六条事先设定的标准（可观测、非表态、可区分、归属本类、篇幅稳健、跨组稳定）分级，12 项稳健，11 项有缺陷，6 项文本测不到；第五维度无一项稳健。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282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bserv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8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　29 项指标的行为证据出现率（诺贝尔奖得主组含 95% 置信区间，菱形为获奖学生组）</w:t>
      </w:r>
    </w:p>
    <w:p>
      <w:r>
        <w:rPr>
          <w:b/>
        </w:rPr>
        <w:t>方向与认同类以表态为主。</w:t>
      </w:r>
      <w:r>
        <w:t xml:space="preserve"> 目标自我一致性、领域身份认同、目标清晰度的判断中“仅声明”分别占 46.8%、35.6%、25.0%，其余五维度最高仅 10.2%。文本测到的更多是个体怎么描述自己，而非具体选择。</w:t>
      </w:r>
    </w:p>
    <w:p>
      <w:r>
        <w:rPr>
          <w:b/>
        </w:rPr>
        <w:t>指标重叠。</w:t>
      </w:r>
      <w:r>
        <w:t xml:space="preserve"> 46.3% 的判断与另一指标共用同一句引语。重叠集中在若干定义相近的指标对上，其同现相关明显高于跨维平均水平（.081，表 2）。</w:t>
      </w:r>
    </w:p>
    <w:p>
      <w:r>
        <w:t>表 2　合并的四组指标及依据（得主组）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合并后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原指标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共用引语（次）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同现相关 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目标清晰与自我一致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C01 + C02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.26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定义相近，且均以表态为主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好奇与自发提问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C06 + C08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.27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共用引语最多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受阻后的路径调整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C20 + C31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.34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定义几乎相同（常规失效或受阻后换路径）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跨领域联结与迁移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C16 + 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数据支持弱，主要依据定义（跨来源的概念组合与方法迁移）</w:t>
            </w:r>
          </w:p>
        </w:tc>
      </w:tr>
    </w:tbl>
    <w:p/>
    <w:p>
      <w:r>
        <w:t>问题重新表征（C19）与策略调整同现也较多（16 次，φ = .29），但其在第一因子上载荷最高、定义上关注问题理解的变化，予以保留；自主性动机（C03）与自发项目（C28）同现多（28 次，φ = .28），因 C03 改由量表测量而不合并。</w:t>
      </w:r>
    </w:p>
    <w:p>
      <w:pPr>
        <w:pStyle w:val="Heading3"/>
      </w:pPr>
      <w:r>
        <w:t>3.2 调整</w:t>
      </w:r>
    </w:p>
    <w:p>
      <w:r>
        <w:t>表 3　v0.3 指标与测量方法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域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v0.3 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处理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测量方法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A1 目标与实际选择一致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A2 自发项目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A3 持续投入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A4 失败后重新投入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保留，仅计写明失败内容与应对者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A5 目标清晰与自我一致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C01 + C02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合并；以表态为主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自评量表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A6 自主性动机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自评量表为主，叙述为辅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A7 领域身份认同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文本测不到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自评量表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B1 好奇与自发提问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C06 + C08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B2 知识缺口敏感性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B3 主动信息搜寻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B4 边缘线索利用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B5 跨领域联结与迁移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C16 + 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 + 远距离联想测验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B6 问题重新表征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B7 受阻后的路径调整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C20 + C31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B8 想法转化为可检验方案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B9 根据反证更新判断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学生文本中罕见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情境判断测验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B10 独立判断与评价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C23、C24、C25、C27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学生文本中罕见或测不到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情境判断测验 + 想法评价任务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B11 隐藏规律发现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学生文本中罕见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规律发现任务</w:t>
            </w:r>
          </w:p>
        </w:tc>
      </w:tr>
    </w:tbl>
    <w:p/>
    <w:p>
      <w:r>
        <w:t>另有指标移出核心集、另行测量：C09 问题新颖性、C32 作品修改增益依赖第三方评价或多稿记录，改用作品档案与专家同感评估；C11 对兴趣的反复返回单次回顾难以判定，改由纵向追踪；C22 休息后的顿悟回顾性叙述易被美化，暂移出；C12、C13、C15、C17 维持原设，以认知实验任务测量。修订后，行为事件叙述承担 A1—A4、B1—B8 共 12 项核心指标。</w:t>
      </w:r>
    </w:p>
    <w:p>
      <w:pPr>
        <w:pStyle w:val="Heading2"/>
      </w:pPr>
      <w:r>
        <w:t>4 修订三：阶段假设</w:t>
      </w:r>
    </w:p>
    <w:p>
      <w:pPr>
        <w:pStyle w:val="Heading3"/>
      </w:pPr>
      <w:r>
        <w:t>4.1 数据依据</w:t>
      </w:r>
    </w:p>
    <w:p>
      <w:r>
        <w:t>以阶段富集度（某指标在某阶段的证据构成相对于全部证据构成的 log₂ 比值）刻画证据的阶段分布。21 项可判断方向的指标中 15 项与先验一致：求知好奇心、自发提问、主动信息搜寻在中学阶段富集；根据反证更新判断、策略调整、想法转化为可检验方案在工作后富集（图 3）。不一致的 6 项中 3 项属第一维度：目标清晰度、目标自我一致性、领域身份认同的富集峰值均在本科（+1.4、+2.4、+2.2）。学生组内，研究生的方向与认同类证据为本科生的 0.61 倍（p = .034），与“方向性事件集中于本科”相互印证。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583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age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58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　各指标行为证据的阶段富集度（得主组）：红色高于该阶段期望分布，蓝色低于，空白为证据不足</w:t>
      </w:r>
    </w:p>
    <w:p>
      <w:pPr>
        <w:pStyle w:val="Heading3"/>
      </w:pPr>
      <w:r>
        <w:t>4.2 调整</w:t>
      </w:r>
    </w:p>
    <w:p>
      <w:pPr>
        <w:pStyle w:val="ListBullet"/>
      </w:pPr>
      <w:r>
        <w:rPr>
          <w:b/>
        </w:rPr>
        <w:t>保留</w:t>
      </w:r>
      <w:r>
        <w:t>：好奇、提问、信息搜寻偏早；重新表征、反证更新、策略调整、想法验证偏晚。</w:t>
      </w:r>
    </w:p>
    <w:p>
      <w:pPr>
        <w:pStyle w:val="ListBullet"/>
      </w:pPr>
      <w:r>
        <w:rPr>
          <w:b/>
        </w:rPr>
        <w:t>修改</w:t>
      </w:r>
      <w:r>
        <w:t>：A5—A7（目标、认同）由递增型改为窗口型，阶段相关度在本科最高，对应的测量重点前移至本科。</w:t>
      </w:r>
    </w:p>
    <w:p>
      <w:pPr>
        <w:pStyle w:val="ListBullet"/>
      </w:pPr>
      <w:r>
        <w:rPr>
          <w:b/>
        </w:rPr>
        <w:t>待议</w:t>
      </w:r>
      <w:r>
        <w:t>：C21 隐藏规律发现、C28 自发项目的经验趋势与先验相反，提交专家复议。</w:t>
      </w:r>
    </w:p>
    <w:p>
      <w:r>
        <w:t>阶段相关度的具体数值暂不改动，待研究二的分阶段数据给出后再修订。</w:t>
      </w:r>
    </w:p>
    <w:p>
      <w:pPr>
        <w:pStyle w:val="Heading2"/>
      </w:pPr>
      <w:r>
        <w:t>5 权重：暂不修订数值</w:t>
      </w:r>
    </w:p>
    <w:p>
      <w:r>
        <w:t>现有样本均为已获外部认可者，只能回答“这些人身上出现了什么”，不能回答“这些特征在多大程度上区分创新者与非创新者”；两组构成差异的方向又与文体惯例吻合，出现率首先反映叙述机会而非特质强度。因此 v0.3 不改动类别与指标权重，权重留待研究二按“区分力 × 编码一致性”估计，再与先验结合后交专家评议。</w:t>
      </w:r>
    </w:p>
    <w:p>
      <w:pPr>
        <w:pStyle w:val="Heading2"/>
      </w:pPr>
      <w:r>
        <w:t>6 后续研究</w:t>
      </w:r>
    </w:p>
    <w:p>
      <w:r>
        <w:rPr>
          <w:b/>
        </w:rPr>
        <w:t>研究一　编码信度（前置）。</w:t>
      </w:r>
      <w:r>
        <w:t xml:space="preserve"> 分层抽取 40 份材料，两名编码者按 v0.3 指标独立编码，计算指标级 κ 与等级加权 κ；κ &lt; .60 的指标修改锚点或剔除。同时计算大语言模型与人工的一致性，决定后续能否以模型编码为主、人工抽检为辅。</w:t>
      </w:r>
    </w:p>
    <w:p>
      <w:r>
        <w:rPr>
          <w:b/>
        </w:rPr>
        <w:t>研究二　多方法施测与初步权重。</w:t>
      </w:r>
    </w:p>
    <w:p>
      <w:pPr>
        <w:pStyle w:val="ListBullet"/>
      </w:pPr>
      <w:r>
        <w:t>样本：国内大学生，按本科低年级、本科高年级、硕士、博士分层；创新组（第一作者论文、授权专利或省级以上科创竞赛奖，学校记录核实）与同校同专业同年级对照组各约 150 人。</w:t>
      </w:r>
    </w:p>
    <w:p>
      <w:pPr>
        <w:pStyle w:val="ListBullet"/>
      </w:pPr>
      <w:r>
        <w:t>工具（约 50 分钟）：书面行为事件叙述 4 题（最投入的事、一次困难或失败、一次改变想法或做法、一件自发的事，每题不少于 300 字）；自评量表（目标与认同、学业动机、好奇心、坚毅）；新编情境判断测验约 10 题（对应 B9、B10）；多用途任务与远距离联想测验；效标为创造性成就问卷、学校记录与导师评定。</w:t>
      </w:r>
    </w:p>
    <w:p>
      <w:pPr>
        <w:pStyle w:val="ListBullet"/>
      </w:pPr>
      <w:r>
        <w:t>分析：信度与会聚效度；创新组与对照组的区分力（行为出现率之比，控制篇幅、学科与年级）；分阶段估计初步权重；以 WLSMV 估计比较两域与六面模型。</w:t>
      </w:r>
    </w:p>
    <w:p>
      <w:pPr>
        <w:pStyle w:val="ListBullet"/>
      </w:pPr>
      <w:r>
        <w:t>风险控制：线下或监考作答以防代写，记录作答时长。</w:t>
      </w:r>
    </w:p>
    <w:p>
      <w:r>
        <w:rPr>
          <w:b/>
        </w:rPr>
        <w:t>研究三　纵向与文体分离。</w:t>
      </w:r>
      <w:r>
        <w:t xml:space="preserve"> 一年后追踪研究二样本的新增成果，检验预测效度，并测量 C11；同时采集部分学生的第一人称叙述与第三人称报道，比较同一指标在两种文体下的出现率，分离文体效应。</w:t>
      </w:r>
    </w:p>
    <w:p>
      <w:pPr>
        <w:pStyle w:val="Heading2"/>
      </w:pPr>
      <w:r>
        <w:t>7 需课题组决定的事项</w:t>
      </w:r>
    </w:p>
    <w:p>
      <w:pPr>
        <w:pStyle w:val="ListBullet"/>
      </w:pPr>
      <w:r>
        <w:t>是否采用“两域 + 内容面”的形成性结构，替代六个可分别计分的维度。</w:t>
      </w:r>
    </w:p>
    <w:p>
      <w:pPr>
        <w:pStyle w:val="ListBullet"/>
      </w:pPr>
      <w:r>
        <w:t>四组合并与移出核心集的指标是否认可。</w:t>
      </w:r>
    </w:p>
    <w:p>
      <w:pPr>
        <w:pStyle w:val="ListBullet"/>
      </w:pPr>
      <w:r>
        <w:t>情境判断测验采用新编还是改编已有工具。</w:t>
      </w:r>
    </w:p>
    <w:p>
      <w:pPr>
        <w:pStyle w:val="ListBullet"/>
      </w:pPr>
      <w:r>
        <w:t>对照组的招募渠道与报酬方式。</w:t>
      </w:r>
    </w:p>
    <w:p>
      <w:pPr>
        <w:pStyle w:val="Heading2"/>
      </w:pPr>
      <w:r>
        <w:t>参考文献</w:t>
      </w:r>
    </w:p>
    <w:p>
      <w:r>
        <w:t>Horn, J. L. (1965). A rationale and test for the number of factors in factor analysis. Psychometrika, 30(2), 179–185.</w:t>
      </w:r>
    </w:p>
    <w:p>
      <w:r>
        <w:t>Hu, L., &amp; Bentler, P. M. (1999). Cutoff criteria for fit indexes in covariance structure analysis. Structural Equation Modeling, 6(1), 1–55.</w:t>
      </w:r>
    </w:p>
    <w:p>
      <w:r>
        <w:t>McDonald, R. P. (1999). Test theory: A unified treatment. Lawrence Erlbaum.</w:t>
      </w:r>
    </w:p>
    <w:p>
      <w:r>
        <w:t>Olsson, U. (1979). Maximum likelihood estimation of the polychoric correlation coefficient. Psychometrika, 44(4), 443–460.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