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创新人才识别模型 v0.3：修订方案与后续测量</w:t>
      </w:r>
    </w:p>
    <w:p>
      <w:pPr>
        <w:pStyle w:val="Heading2"/>
      </w:pPr>
      <w:r>
        <w:t>——基于成长叙述心理测量学检验的迭代</w:t>
      </w:r>
    </w:p>
    <w:p>
      <w:r>
        <w:rPr>
          <w:b/>
        </w:rPr>
        <w:t>摘要</w:t>
      </w:r>
      <w:r>
        <w:t xml:space="preserve">　依据对 353 人成长叙述的检验结果，本文对模型作三项修订：结构上由六个可分别计分的维度改为“两域 + 内容面”的形成性结构；指标上合并四组语义重叠的指标，将表态为主、文本中罕见或依赖第三方评价的指标移出文本测量，改用量表、情境判断、认知任务或作品评价；阶段假设上将方向与认同类指标由递增型改为窗口型。修订后，文本行为证据的核心指标为 12 项。后续研究分三步：先建立编码信度，再在国内大学生中开展含对照组的多方法施测并估计初步权重，最后作纵向追踪。</w:t>
      </w:r>
    </w:p>
    <w:p>
      <w:pPr>
        <w:pStyle w:val="Heading2"/>
      </w:pPr>
      <w:r>
        <w:t>1 修订依据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证据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检验结果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对模型的含义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结构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同维相关仅略高于跨维（.105 比 .081）；六因子模型 CFI = .812；维度内部一致性 .42—.65；两因子解可清楚解释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六维不能分别计分；数据支持“方向与投入”“问题发现与求解”两个内容域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可观测性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 项稳健，11 项有缺陷，6 项文本测不到；方向与认同类以表态为主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测量方法须按指标分配，而非统一用文本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区分性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46.3% 的判断与另一指标共用引语；C06 与 C08、C20 与 C31 共用最多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定义重叠的指标应合并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发展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15/21 项阶段趋势与先验一致；方向与认同类峰值在本科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阶段先验大体保留，第一类改为窗口型</w:t>
            </w:r>
          </w:p>
        </w:tc>
      </w:tr>
    </w:tbl>
    <w:p/>
    <w:p>
      <w:pPr>
        <w:pStyle w:val="Heading2"/>
      </w:pPr>
      <w:r>
        <w:t>2 结构修订：两域 + 内容面</w:t>
      </w:r>
    </w:p>
    <w:p>
      <w:pPr>
        <w:pStyle w:val="ListBullet"/>
      </w:pPr>
      <w:r>
        <w:rPr>
          <w:b/>
        </w:rPr>
        <w:t>域 A　方向与投入</w:t>
      </w:r>
      <w:r>
        <w:t>：原第一、六类。回答“为什么做、是否持续做”。</w:t>
      </w:r>
    </w:p>
    <w:p>
      <w:pPr>
        <w:pStyle w:val="ListBullet"/>
      </w:pPr>
      <w:r>
        <w:rPr>
          <w:b/>
        </w:rPr>
        <w:t>域 B　问题发现与求解</w:t>
      </w:r>
      <w:r>
        <w:t>：原第二至第五类。回答“如何发现、重构、验证问题”。</w:t>
      </w:r>
    </w:p>
    <w:p>
      <w:pPr>
        <w:pStyle w:val="ListBullet"/>
      </w:pPr>
      <w:r>
        <w:rPr>
          <w:b/>
        </w:rPr>
        <w:t>内容面</w:t>
      </w:r>
      <w:r>
        <w:t>：原六类保留为内容标签，用于描述和指标筛选，不单独计分，不加总为维度分。</w:t>
      </w:r>
    </w:p>
    <w:p>
      <w:r>
        <w:t>两域作为形成性构念处理：域内指标不要求高度相关，域得分的使用须以对效标的独立贡献为前提。两域与六面何者更优，留待独立样本的验证性因素分析判定。</w:t>
      </w:r>
    </w:p>
    <w:p>
      <w:pPr>
        <w:pStyle w:val="Heading2"/>
      </w:pPr>
      <w:r>
        <w:t>3 指标修订与测量方法分配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域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v0.3 指标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来源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处理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测量方法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A1 目标与实际选择一致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A2 自发项目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A3 持续投入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A4 失败后重新投入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保留，仅计写明失败内容与应对者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A5 目标清晰与自我一致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C01 + C02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合并；以表态为主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自评量表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A6 自主性动机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自评量表为主，叙述为辅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A7 领域身份认同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文本测不到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自评量表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B1 好奇与自发提问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C06 + C08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合并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B2 知识缺口敏感性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B3 主动信息搜寻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B4 边缘线索利用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B5 跨领域联结与迁移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C16 + C18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合并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 + 远距离联想测验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B6 问题重新表征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B7 受阻后的路径调整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C20 + C31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合并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B8 想法转化为可检验方案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保留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行为事件叙述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B9 根据反证更新判断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学生文本中罕见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情境判断测验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B10 独立判断与评价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C23、C24、C25、C27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学生文本中罕见或测不到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情境判断测验 + 想法评价任务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B11 隐藏规律发现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学生文本中罕见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规律发现任务</w:t>
            </w:r>
          </w:p>
        </w:tc>
      </w:tr>
    </w:tbl>
    <w:p/>
    <w:p>
      <w:r>
        <w:rPr>
          <w:b/>
        </w:rPr>
        <w:t>移出核心集、另行测量：</w:t>
      </w:r>
    </w:p>
    <w:p>
      <w:pPr>
        <w:pStyle w:val="ListBullet"/>
      </w:pPr>
      <w:r>
        <w:t>C09 问题新颖性、C32 作品修改增益：依赖第三方评价或多稿记录，改用作品档案与专家同感评估。</w:t>
      </w:r>
    </w:p>
    <w:p>
      <w:pPr>
        <w:pStyle w:val="ListBullet"/>
      </w:pPr>
      <w:r>
        <w:t>C11 对兴趣的反复返回：单次回顾难以判定，改由纵向多时点追踪。</w:t>
      </w:r>
    </w:p>
    <w:p>
      <w:pPr>
        <w:pStyle w:val="ListBullet"/>
      </w:pPr>
      <w:r>
        <w:t>C22 休息后的顿悟增益：回顾性叙述易被美化，暂移出，必要时用经验取样另行探索。</w:t>
      </w:r>
    </w:p>
    <w:p>
      <w:pPr>
        <w:pStyle w:val="ListBullet"/>
      </w:pPr>
      <w:r>
        <w:t>C12、C13、C15、C17：维持原设，以认知实验任务测量。</w:t>
      </w:r>
    </w:p>
    <w:p>
      <w:r>
        <w:t>修订后，行为事件叙述承担 A1—A4、B1—B8 共 12 项核心指标；其余指标分别由量表、情境判断、认知任务与作品评价承担。</w:t>
      </w:r>
    </w:p>
    <w:p>
      <w:pPr>
        <w:pStyle w:val="Heading2"/>
      </w:pPr>
      <w:r>
        <w:t>4 阶段假设修订</w:t>
      </w:r>
    </w:p>
    <w:p>
      <w:pPr>
        <w:pStyle w:val="ListBullet"/>
      </w:pPr>
      <w:r>
        <w:rPr>
          <w:b/>
        </w:rPr>
        <w:t>保留</w:t>
      </w:r>
      <w:r>
        <w:t>：好奇、提问、信息搜寻偏早；重新表征、反证更新、策略调整、想法验证偏晚。</w:t>
      </w:r>
    </w:p>
    <w:p>
      <w:pPr>
        <w:pStyle w:val="ListBullet"/>
      </w:pPr>
      <w:r>
        <w:rPr>
          <w:b/>
        </w:rPr>
        <w:t>修改</w:t>
      </w:r>
      <w:r>
        <w:t>：A5—A7（目标、认同）由递增型改为窗口型，阶段相关度在本科阶段最高；对应的测量重点前移至本科。</w:t>
      </w:r>
    </w:p>
    <w:p>
      <w:pPr>
        <w:pStyle w:val="ListBullet"/>
      </w:pPr>
      <w:r>
        <w:rPr>
          <w:b/>
        </w:rPr>
        <w:t>待议</w:t>
      </w:r>
      <w:r>
        <w:t>：C21 隐藏规律发现、C28 自发项目的经验趋势与先验相反，提交专家复议。</w:t>
      </w:r>
    </w:p>
    <w:p>
      <w:r>
        <w:t>阶段相关度的具体数值暂不改动，待第 5 节研究二的分阶段数据给出后再修订。</w:t>
      </w:r>
    </w:p>
    <w:p>
      <w:pPr>
        <w:pStyle w:val="Heading2"/>
      </w:pPr>
      <w:r>
        <w:t>5 后续研究</w:t>
      </w:r>
    </w:p>
    <w:p>
      <w:r>
        <w:rPr>
          <w:b/>
        </w:rPr>
        <w:t>研究一　编码信度（前置）。</w:t>
      </w:r>
      <w:r>
        <w:t xml:space="preserve"> 分层抽取 40 份材料，两名编码者按 v0.3 指标独立编码，计算指标级 κ 与等级加权 κ；κ &lt; .60 的指标修改锚点或剔除。同时计算大语言模型与人工的一致性，决定后续能否以模型编码为主、人工抽检为辅。</w:t>
      </w:r>
    </w:p>
    <w:p>
      <w:r>
        <w:rPr>
          <w:b/>
        </w:rPr>
        <w:t>研究二　多方法施测与初步权重。</w:t>
      </w:r>
    </w:p>
    <w:p>
      <w:pPr>
        <w:pStyle w:val="ListBullet"/>
      </w:pPr>
      <w:r>
        <w:t>样本：国内大学生，按本科低年级、本科高年级、硕士、博士分层；创新组（第一作者论文、授权专利或省级以上科创竞赛奖，学校记录核实）与同校同专业同年级对照组各约 150 人。</w:t>
      </w:r>
    </w:p>
    <w:p>
      <w:pPr>
        <w:pStyle w:val="ListBullet"/>
      </w:pPr>
      <w:r>
        <w:t>工具（约 50 分钟）：书面行为事件叙述 4 题（最投入的事、一次困难或失败、一次改变想法或做法、一件自发的事，每题不少于 300 字）；自评量表（目标与认同、学业动机、好奇心、坚毅）；新编情境判断测验约 10 题（对应 B9、B10）；多用途任务与远距离联想测验；效标为创造性成就问卷、学校记录与导师评定。</w:t>
      </w:r>
    </w:p>
    <w:p>
      <w:pPr>
        <w:pStyle w:val="ListBullet"/>
      </w:pPr>
      <w:r>
        <w:t>分析：信度与会聚效度；创新组与对照组的区分力（行为出现率之比，控制篇幅、学科与年级）；按“区分力 × 编码一致性”分阶段计算初步权重，与模型先验按样本量加权结合后交专家评议；以 WLSMV 估计比较两域与六面模型。</w:t>
      </w:r>
    </w:p>
    <w:p>
      <w:pPr>
        <w:pStyle w:val="ListBullet"/>
      </w:pPr>
      <w:r>
        <w:t>风险控制：线下或监考作答以防代写，记录作答时长。</w:t>
      </w:r>
    </w:p>
    <w:p>
      <w:r>
        <w:rPr>
          <w:b/>
        </w:rPr>
        <w:t>研究三　纵向与文体分离。</w:t>
      </w:r>
      <w:r>
        <w:t xml:space="preserve"> 一年后追踪研究二样本的新增成果，检验预测效度，并测量 C11；同时采集部分学生的第一人称叙述与第三人称报道，比较同一指标在两种文体下的出现率，分离文体效应。</w:t>
      </w:r>
    </w:p>
    <w:p>
      <w:pPr>
        <w:pStyle w:val="Heading2"/>
      </w:pPr>
      <w:r>
        <w:t>6 需课题组决定的事项</w:t>
      </w:r>
    </w:p>
    <w:p>
      <w:pPr>
        <w:pStyle w:val="ListBullet"/>
      </w:pPr>
      <w:r>
        <w:t>是否采用“两域 + 内容面”的形成性结构，替代六个可分别计分的维度。</w:t>
      </w:r>
    </w:p>
    <w:p>
      <w:pPr>
        <w:pStyle w:val="ListBullet"/>
      </w:pPr>
      <w:r>
        <w:t>四组合并（C01+C02、C06+C08、C16+C18、C20+C31）与移出核心集的指标是否认可。</w:t>
      </w:r>
    </w:p>
    <w:p>
      <w:pPr>
        <w:pStyle w:val="ListBullet"/>
      </w:pPr>
      <w:r>
        <w:t>情境判断测验采用新编还是改编已有工具。</w:t>
      </w:r>
    </w:p>
    <w:p>
      <w:pPr>
        <w:pStyle w:val="ListBullet"/>
      </w:pPr>
      <w:r>
        <w:t>对照组的招募渠道与报酬方式。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