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Microsoft YaHei" w:hAnsi="Microsoft YaHei" w:eastAsia="微软雅黑"/>
          <w:b/>
          <w:sz w:val="52"/>
        </w:rPr>
        <w:t>页面级文档 VLM-RAG</w:t>
        <w:br/>
        <w:t>项目二阶段总结报告</w:t>
      </w:r>
    </w:p>
    <w:p>
      <w:pPr>
        <w:spacing w:before="600"/>
        <w:jc w:val="center"/>
      </w:pPr>
      <w:r>
        <w:rPr>
          <w:rFonts w:ascii="KaiTi" w:hAnsi="KaiTi" w:eastAsia="楷体"/>
          <w:sz w:val="30"/>
        </w:rPr>
        <w:t>单页基线复核、失败分析与连续多页联合推理验证</w:t>
      </w:r>
    </w:p>
    <w:p>
      <w:pPr>
        <w:spacing w:before="4600"/>
        <w:jc w:val="center"/>
      </w:pPr>
      <w:r>
        <w:rPr>
          <w:sz w:val="24"/>
        </w:rPr>
        <w:t>实验日期：2026年8月</w:t>
        <w:br/>
        <w:t>数据规模：单页测试500条；多页验证40条</w:t>
      </w:r>
    </w:p>
    <w:p>
      <w:r>
        <w:br w:type="page"/>
      </w:r>
    </w:p>
    <w:p>
      <w:pPr>
        <w:pStyle w:val="Heading1"/>
        <w:keepNext/>
        <w:spacing w:before="280" w:after="160"/>
      </w:pPr>
      <w:r>
        <w:t>摘  要</w:t>
      </w:r>
    </w:p>
    <w:p>
      <w:pPr>
        <w:jc w:val="both"/>
      </w:pPr>
      <w:r>
        <w:t>本阶段围绕页面级文档视觉检索增强生成系统开展统一复核与跨页能力验证。首先，将 SigLIP 零样本检索、InfoNCE 部分微调、难负例微调、PPOCR+BGE 与 ColSmol 五种检索方案置于同一 ChartQA 测试集和同一指标口径下比较；其次，对500条测试 Query 的逐条结果进行失败类型归因；再次，将 Oracle Page、Top-1、Top-3逐页融合和Top-3拼图四种 SmolVLM 问答方案统一分析。最后，新建10份连续三页财务报告和40条必须联合两个证据页才能回答的问题，并在本地 RTX 4070 上完成 ColSmol Top-3 检索和 SmolVLM-500M 多图问答验证。结果显示，ColSmol 在单页测试上以 Recall@3=0.3900、MRR@10=0.3669 获得最佳检索性能；多页验证中任意证据召回率为1.0000，全部证据召回率为0.9750，但多图联合问答宽松准确率为0.0000。这一结果表明：当前系统已具备较强的页面定位能力，但现有轻量生成模型不能可靠完成跨页取值、对齐与算术推理。</w:t>
      </w:r>
    </w:p>
    <w:p>
      <w:pPr>
        <w:jc w:val="both"/>
      </w:pPr>
      <w:r>
        <w:t>关键词：视觉RAG；页面检索；ColSmol；InfoNCE；SmolVLM；多页问答；证据覆盖</w:t>
      </w:r>
    </w:p>
    <w:p>
      <w:pPr>
        <w:pStyle w:val="Heading1"/>
        <w:keepNext/>
        <w:spacing w:before="280" w:after="160"/>
      </w:pPr>
      <w:r>
        <w:t>1 研究任务与阶段边界</w:t>
      </w:r>
    </w:p>
    <w:p>
      <w:pPr>
        <w:jc w:val="both"/>
      </w:pPr>
      <w:r>
        <w:t>此前实验以 ChartQA 单张图表页面为基本样本。Top-3 仅表示从整个页面库中返回三个候选页面，并不等于一份真实文档中的连续多页联合推理。本阶段因此分成两部分：一是整理并复核已有单页实验；二是增加具有明确文档归属、连续页码和多证据标注的跨页验证。所有既有指标均来自实际实验产物；新多页数据为程序化构造的受控验证集，不冒充真实企业数据。</w:t>
      </w:r>
    </w:p>
    <w:p>
      <w:pPr>
        <w:pStyle w:val="Heading1"/>
        <w:keepNext/>
        <w:spacing w:before="280" w:after="160"/>
      </w:pPr>
      <w:r>
        <w:t>2 五种检索方案统一基线</w:t>
      </w:r>
    </w:p>
    <w:p>
      <w:pPr>
        <w:jc w:val="both"/>
      </w:pPr>
      <w:r>
        <w:t>五种方案使用相同的 ChartQA 大规模子集，其中训练集5000条、开发集500条、测试集500条，页面库包含2958张唯一图表页面。Recall@K 表示前K个结果中是否包含正确证据页，MRR@10同时考虑正确页是否出现以及出现位置。</w:t>
      </w:r>
    </w:p>
    <w:tbl>
      <w:tblPr>
        <w:tblW w:type="auto" w:w="0"/>
        <w:jc w:val="center"/>
        <w:tblLayout w:type="fixed"/>
        <w:tblLook w:firstColumn="1" w:firstRow="1" w:lastColumn="0" w:lastRow="0" w:noHBand="0" w:noVBand="1" w:val="04A0"/>
        <w:tblBorders>
          <w:top w:val="single" w:sz="12" w:color="000000"/>
          <w:insideH w:val="single" w:sz="4" w:color="000000"/>
          <w:bottom w:val="single" w:sz="12" w:color="000000"/>
          <w:left w:val="nil"/>
          <w:right w:val="nil"/>
          <w:insideV w:val="nil"/>
        </w:tblBorders>
      </w:tblPr>
      <w:tblGrid>
        <w:gridCol w:w="1567"/>
        <w:gridCol w:w="1567"/>
        <w:gridCol w:w="1567"/>
        <w:gridCol w:w="1567"/>
        <w:gridCol w:w="1567"/>
        <w:gridCol w:w="1567"/>
      </w:tblGrid>
      <w:tr>
        <w:tc>
          <w:tcPr>
            <w:tcW w:type="dxa" w:w="2041"/>
            <w:vAlign w:val="center"/>
          </w:tcPr>
          <w:p>
            <w:pPr>
              <w:jc w:val="center"/>
            </w:pPr>
            <w:r>
              <w:rPr>
                <w:b/>
                <w:sz w:val="19"/>
              </w:rPr>
              <w:t>方案</w:t>
            </w:r>
          </w:p>
        </w:tc>
        <w:tc>
          <w:tcPr>
            <w:tcW w:type="dxa" w:w="3515"/>
            <w:vAlign w:val="center"/>
          </w:tcPr>
          <w:p>
            <w:pPr>
              <w:jc w:val="center"/>
            </w:pPr>
            <w:r>
              <w:rPr>
                <w:b/>
                <w:sz w:val="19"/>
              </w:rPr>
              <w:t>作用</w:t>
            </w:r>
          </w:p>
        </w:tc>
        <w:tc>
          <w:tcPr>
            <w:tcW w:type="dxa" w:w="1134"/>
            <w:vAlign w:val="center"/>
          </w:tcPr>
          <w:p>
            <w:pPr>
              <w:jc w:val="center"/>
            </w:pPr>
            <w:r>
              <w:rPr>
                <w:b/>
                <w:sz w:val="19"/>
              </w:rPr>
              <w:t>Recall@1</w:t>
            </w:r>
          </w:p>
        </w:tc>
        <w:tc>
          <w:tcPr>
            <w:tcW w:type="dxa" w:w="1134"/>
            <w:vAlign w:val="center"/>
          </w:tcPr>
          <w:p>
            <w:pPr>
              <w:jc w:val="center"/>
            </w:pPr>
            <w:r>
              <w:rPr>
                <w:b/>
                <w:sz w:val="19"/>
              </w:rPr>
              <w:t>Recall@3</w:t>
            </w:r>
          </w:p>
        </w:tc>
        <w:tc>
          <w:tcPr>
            <w:tcW w:type="dxa" w:w="1134"/>
            <w:vAlign w:val="center"/>
          </w:tcPr>
          <w:p>
            <w:pPr>
              <w:jc w:val="center"/>
            </w:pPr>
            <w:r>
              <w:rPr>
                <w:b/>
                <w:sz w:val="19"/>
              </w:rPr>
              <w:t>Recall@10</w:t>
            </w:r>
          </w:p>
        </w:tc>
        <w:tc>
          <w:tcPr>
            <w:tcW w:type="dxa" w:w="1134"/>
            <w:vAlign w:val="center"/>
          </w:tcPr>
          <w:p>
            <w:pPr>
              <w:jc w:val="center"/>
            </w:pPr>
            <w:r>
              <w:rPr>
                <w:b/>
                <w:sz w:val="19"/>
              </w:rPr>
              <w:t>MRR@10</w:t>
            </w:r>
          </w:p>
        </w:tc>
      </w:tr>
      <w:tr>
        <w:tc>
          <w:tcPr>
            <w:tcW w:type="dxa" w:w="2041"/>
            <w:vAlign w:val="center"/>
          </w:tcPr>
          <w:p>
            <w:pPr>
              <w:jc w:val="center"/>
            </w:pPr>
            <w:r>
              <w:rPr>
                <w:sz w:val="18"/>
              </w:rPr>
              <w:t>SigLIP zero-shot</w:t>
            </w:r>
          </w:p>
        </w:tc>
        <w:tc>
          <w:tcPr>
            <w:tcW w:type="dxa" w:w="3515"/>
            <w:vAlign w:val="center"/>
          </w:tcPr>
          <w:p>
            <w:pPr>
              <w:jc w:val="left"/>
            </w:pPr>
            <w:r>
              <w:rPr>
                <w:sz w:val="18"/>
              </w:rPr>
              <w:t>全局图文向量零样本基线</w:t>
            </w:r>
          </w:p>
        </w:tc>
        <w:tc>
          <w:tcPr>
            <w:tcW w:type="dxa" w:w="1134"/>
            <w:vAlign w:val="center"/>
          </w:tcPr>
          <w:p>
            <w:pPr>
              <w:jc w:val="center"/>
            </w:pPr>
            <w:r>
              <w:rPr>
                <w:sz w:val="18"/>
              </w:rPr>
              <w:t>0.16</w:t>
            </w:r>
          </w:p>
        </w:tc>
        <w:tc>
          <w:tcPr>
            <w:tcW w:type="dxa" w:w="1134"/>
            <w:vAlign w:val="center"/>
          </w:tcPr>
          <w:p>
            <w:pPr>
              <w:jc w:val="center"/>
            </w:pPr>
            <w:r>
              <w:rPr>
                <w:sz w:val="18"/>
              </w:rPr>
              <w:t>0.216</w:t>
            </w:r>
          </w:p>
        </w:tc>
        <w:tc>
          <w:tcPr>
            <w:tcW w:type="dxa" w:w="1134"/>
            <w:vAlign w:val="center"/>
          </w:tcPr>
          <w:p>
            <w:pPr>
              <w:jc w:val="center"/>
            </w:pPr>
            <w:r>
              <w:rPr>
                <w:sz w:val="18"/>
              </w:rPr>
              <w:t>0.252</w:t>
            </w:r>
          </w:p>
        </w:tc>
        <w:tc>
          <w:tcPr>
            <w:tcW w:type="dxa" w:w="1134"/>
            <w:vAlign w:val="center"/>
          </w:tcPr>
          <w:p>
            <w:pPr>
              <w:jc w:val="center"/>
            </w:pPr>
            <w:r>
              <w:rPr>
                <w:sz w:val="18"/>
              </w:rPr>
              <w:t>0.1903</w:t>
            </w:r>
          </w:p>
        </w:tc>
      </w:tr>
      <w:tr>
        <w:tc>
          <w:tcPr>
            <w:tcW w:type="dxa" w:w="2041"/>
            <w:vAlign w:val="center"/>
          </w:tcPr>
          <w:p>
            <w:pPr>
              <w:jc w:val="center"/>
            </w:pPr>
            <w:r>
              <w:rPr>
                <w:sz w:val="18"/>
              </w:rPr>
              <w:t>SigLIP InfoNCE partial fine-tune</w:t>
            </w:r>
          </w:p>
        </w:tc>
        <w:tc>
          <w:tcPr>
            <w:tcW w:type="dxa" w:w="3515"/>
            <w:vAlign w:val="center"/>
          </w:tcPr>
          <w:p>
            <w:pPr>
              <w:jc w:val="left"/>
            </w:pPr>
            <w:r>
              <w:rPr>
                <w:sz w:val="18"/>
              </w:rPr>
              <w:t>部分解冻双塔并用 InfoNCE 微调</w:t>
            </w:r>
          </w:p>
        </w:tc>
        <w:tc>
          <w:tcPr>
            <w:tcW w:type="dxa" w:w="1134"/>
            <w:vAlign w:val="center"/>
          </w:tcPr>
          <w:p>
            <w:pPr>
              <w:jc w:val="center"/>
            </w:pPr>
            <w:r>
              <w:rPr>
                <w:sz w:val="18"/>
              </w:rPr>
              <w:t>0.19</w:t>
            </w:r>
          </w:p>
        </w:tc>
        <w:tc>
          <w:tcPr>
            <w:tcW w:type="dxa" w:w="1134"/>
            <w:vAlign w:val="center"/>
          </w:tcPr>
          <w:p>
            <w:pPr>
              <w:jc w:val="center"/>
            </w:pPr>
            <w:r>
              <w:rPr>
                <w:sz w:val="18"/>
              </w:rPr>
              <w:t>0.26</w:t>
            </w:r>
          </w:p>
        </w:tc>
        <w:tc>
          <w:tcPr>
            <w:tcW w:type="dxa" w:w="1134"/>
            <w:vAlign w:val="center"/>
          </w:tcPr>
          <w:p>
            <w:pPr>
              <w:jc w:val="center"/>
            </w:pPr>
            <w:r>
              <w:rPr>
                <w:sz w:val="18"/>
              </w:rPr>
              <w:t>0.324</w:t>
            </w:r>
          </w:p>
        </w:tc>
        <w:tc>
          <w:tcPr>
            <w:tcW w:type="dxa" w:w="1134"/>
            <w:vAlign w:val="center"/>
          </w:tcPr>
          <w:p>
            <w:pPr>
              <w:jc w:val="center"/>
            </w:pPr>
            <w:r>
              <w:rPr>
                <w:sz w:val="18"/>
              </w:rPr>
              <w:t>0.232</w:t>
            </w:r>
          </w:p>
        </w:tc>
      </w:tr>
      <w:tr>
        <w:tc>
          <w:tcPr>
            <w:tcW w:type="dxa" w:w="2041"/>
            <w:vAlign w:val="center"/>
          </w:tcPr>
          <w:p>
            <w:pPr>
              <w:jc w:val="center"/>
            </w:pPr>
            <w:r>
              <w:rPr>
                <w:sz w:val="18"/>
              </w:rPr>
              <w:t>SigLIP hard-negative fine-tune</w:t>
            </w:r>
          </w:p>
        </w:tc>
        <w:tc>
          <w:tcPr>
            <w:tcW w:type="dxa" w:w="3515"/>
            <w:vAlign w:val="center"/>
          </w:tcPr>
          <w:p>
            <w:pPr>
              <w:jc w:val="left"/>
            </w:pPr>
            <w:r>
              <w:rPr>
                <w:sz w:val="18"/>
              </w:rPr>
              <w:t>每个 Query 加入 1 个难负例</w:t>
            </w:r>
          </w:p>
        </w:tc>
        <w:tc>
          <w:tcPr>
            <w:tcW w:type="dxa" w:w="1134"/>
            <w:vAlign w:val="center"/>
          </w:tcPr>
          <w:p>
            <w:pPr>
              <w:jc w:val="center"/>
            </w:pPr>
            <w:r>
              <w:rPr>
                <w:sz w:val="18"/>
              </w:rPr>
              <w:t>0.184</w:t>
            </w:r>
          </w:p>
        </w:tc>
        <w:tc>
          <w:tcPr>
            <w:tcW w:type="dxa" w:w="1134"/>
            <w:vAlign w:val="center"/>
          </w:tcPr>
          <w:p>
            <w:pPr>
              <w:jc w:val="center"/>
            </w:pPr>
            <w:r>
              <w:rPr>
                <w:sz w:val="18"/>
              </w:rPr>
              <w:t>0.26</w:t>
            </w:r>
          </w:p>
        </w:tc>
        <w:tc>
          <w:tcPr>
            <w:tcW w:type="dxa" w:w="1134"/>
            <w:vAlign w:val="center"/>
          </w:tcPr>
          <w:p>
            <w:pPr>
              <w:jc w:val="center"/>
            </w:pPr>
            <w:r>
              <w:rPr>
                <w:sz w:val="18"/>
              </w:rPr>
              <w:t>0.324</w:t>
            </w:r>
          </w:p>
        </w:tc>
        <w:tc>
          <w:tcPr>
            <w:tcW w:type="dxa" w:w="1134"/>
            <w:vAlign w:val="center"/>
          </w:tcPr>
          <w:p>
            <w:pPr>
              <w:jc w:val="center"/>
            </w:pPr>
            <w:r>
              <w:rPr>
                <w:sz w:val="18"/>
              </w:rPr>
              <w:t>0.2313</w:t>
            </w:r>
          </w:p>
        </w:tc>
      </w:tr>
      <w:tr>
        <w:tc>
          <w:tcPr>
            <w:tcW w:type="dxa" w:w="2041"/>
            <w:vAlign w:val="center"/>
          </w:tcPr>
          <w:p>
            <w:pPr>
              <w:jc w:val="center"/>
            </w:pPr>
            <w:r>
              <w:rPr>
                <w:sz w:val="18"/>
              </w:rPr>
              <w:t>PPOCR + BGE</w:t>
            </w:r>
          </w:p>
        </w:tc>
        <w:tc>
          <w:tcPr>
            <w:tcW w:type="dxa" w:w="3515"/>
            <w:vAlign w:val="center"/>
          </w:tcPr>
          <w:p>
            <w:pPr>
              <w:jc w:val="left"/>
            </w:pPr>
            <w:r>
              <w:rPr>
                <w:sz w:val="18"/>
              </w:rPr>
              <w:t>传统 OCR 文本链路</w:t>
            </w:r>
          </w:p>
        </w:tc>
        <w:tc>
          <w:tcPr>
            <w:tcW w:type="dxa" w:w="1134"/>
            <w:vAlign w:val="center"/>
          </w:tcPr>
          <w:p>
            <w:pPr>
              <w:jc w:val="center"/>
            </w:pPr>
            <w:r>
              <w:rPr>
                <w:sz w:val="18"/>
              </w:rPr>
              <w:t>0.198</w:t>
            </w:r>
          </w:p>
        </w:tc>
        <w:tc>
          <w:tcPr>
            <w:tcW w:type="dxa" w:w="1134"/>
            <w:vAlign w:val="center"/>
          </w:tcPr>
          <w:p>
            <w:pPr>
              <w:jc w:val="center"/>
            </w:pPr>
            <w:r>
              <w:rPr>
                <w:sz w:val="18"/>
              </w:rPr>
              <w:t>0.254</w:t>
            </w:r>
          </w:p>
        </w:tc>
        <w:tc>
          <w:tcPr>
            <w:tcW w:type="dxa" w:w="1134"/>
            <w:vAlign w:val="center"/>
          </w:tcPr>
          <w:p>
            <w:pPr>
              <w:jc w:val="center"/>
            </w:pPr>
            <w:r>
              <w:rPr>
                <w:sz w:val="18"/>
              </w:rPr>
              <w:t>0.28</w:t>
            </w:r>
          </w:p>
        </w:tc>
        <w:tc>
          <w:tcPr>
            <w:tcW w:type="dxa" w:w="1134"/>
            <w:vAlign w:val="center"/>
          </w:tcPr>
          <w:p>
            <w:pPr>
              <w:jc w:val="center"/>
            </w:pPr>
            <w:r>
              <w:rPr>
                <w:sz w:val="18"/>
              </w:rPr>
              <w:t>0.2274</w:t>
            </w:r>
          </w:p>
        </w:tc>
      </w:tr>
      <w:tr>
        <w:tc>
          <w:tcPr>
            <w:tcW w:type="dxa" w:w="2041"/>
            <w:vAlign w:val="center"/>
          </w:tcPr>
          <w:p>
            <w:pPr>
              <w:jc w:val="center"/>
            </w:pPr>
            <w:r>
              <w:rPr>
                <w:sz w:val="18"/>
              </w:rPr>
              <w:t>ColSmol</w:t>
            </w:r>
          </w:p>
        </w:tc>
        <w:tc>
          <w:tcPr>
            <w:tcW w:type="dxa" w:w="3515"/>
            <w:vAlign w:val="center"/>
          </w:tcPr>
          <w:p>
            <w:pPr>
              <w:jc w:val="left"/>
            </w:pPr>
            <w:r>
              <w:rPr>
                <w:sz w:val="18"/>
              </w:rPr>
              <w:t>多向量页面表示与晚交互</w:t>
            </w:r>
          </w:p>
        </w:tc>
        <w:tc>
          <w:tcPr>
            <w:tcW w:type="dxa" w:w="1134"/>
            <w:vAlign w:val="center"/>
          </w:tcPr>
          <w:p>
            <w:pPr>
              <w:jc w:val="center"/>
            </w:pPr>
            <w:r>
              <w:rPr>
                <w:sz w:val="18"/>
              </w:rPr>
              <w:t>0.332</w:t>
            </w:r>
          </w:p>
        </w:tc>
        <w:tc>
          <w:tcPr>
            <w:tcW w:type="dxa" w:w="1134"/>
            <w:vAlign w:val="center"/>
          </w:tcPr>
          <w:p>
            <w:pPr>
              <w:jc w:val="center"/>
            </w:pPr>
            <w:r>
              <w:rPr>
                <w:sz w:val="18"/>
              </w:rPr>
              <w:t>0.39</w:t>
            </w:r>
          </w:p>
        </w:tc>
        <w:tc>
          <w:tcPr>
            <w:tcW w:type="dxa" w:w="1134"/>
            <w:vAlign w:val="center"/>
          </w:tcPr>
          <w:p>
            <w:pPr>
              <w:jc w:val="center"/>
            </w:pPr>
            <w:r>
              <w:rPr>
                <w:sz w:val="18"/>
              </w:rPr>
              <w:t>0.446</w:t>
            </w:r>
          </w:p>
        </w:tc>
        <w:tc>
          <w:tcPr>
            <w:tcW w:type="dxa" w:w="1134"/>
            <w:vAlign w:val="center"/>
          </w:tcPr>
          <w:p>
            <w:pPr>
              <w:jc w:val="center"/>
            </w:pPr>
            <w:r>
              <w:rPr>
                <w:sz w:val="18"/>
              </w:rPr>
              <w:t>0.3669</w:t>
            </w:r>
          </w:p>
        </w:tc>
      </w:tr>
    </w:tbl>
    <w:p>
      <w:pPr>
        <w:spacing w:after="0"/>
      </w:pPr>
    </w:p>
    <w:p>
      <w:pPr>
        <w:jc w:val="both"/>
      </w:pPr>
      <w:r>
        <w:t>ColSmol 的 Recall@1 为0.3320，相比 SigLIP 零样本的0.1600提高0.1720；MRR@10由0.1903提高到0.3669。InfoNCE 部分微调使 SigLIP 的 Recall@10 从0.2520提高到0.3240，证明领域配对训练有效。加入一个难负例后没有继续提升，MRR@10略降至0.2313，说明难负例质量和采样强度需要谨慎控制。OCR+BGE 的 Recall@1 达0.1980，但 Recall@10仅0.2800，整体弱于ColSmol。</w:t>
      </w:r>
    </w:p>
    <w:p>
      <w:pPr>
        <w:pStyle w:val="Heading1"/>
        <w:keepNext/>
        <w:spacing w:before="280" w:after="160"/>
      </w:pPr>
      <w:r>
        <w:t>3 检索失败案例原因分析</w:t>
      </w:r>
    </w:p>
    <w:tbl>
      <w:tblPr>
        <w:tblW w:type="auto" w:w="0"/>
        <w:jc w:val="center"/>
        <w:tblLayout w:type="fixed"/>
        <w:tblLook w:firstColumn="1" w:firstRow="1" w:lastColumn="0" w:lastRow="0" w:noHBand="0" w:noVBand="1" w:val="04A0"/>
        <w:tblBorders>
          <w:top w:val="single" w:sz="12" w:color="000000"/>
          <w:insideH w:val="single" w:sz="4" w:color="000000"/>
          <w:bottom w:val="single" w:sz="12" w:color="000000"/>
          <w:left w:val="nil"/>
          <w:right w:val="nil"/>
          <w:insideV w:val="nil"/>
        </w:tblBorders>
      </w:tblPr>
      <w:tblGrid>
        <w:gridCol w:w="2351"/>
        <w:gridCol w:w="2351"/>
        <w:gridCol w:w="2351"/>
        <w:gridCol w:w="2351"/>
      </w:tblGrid>
      <w:tr>
        <w:tc>
          <w:tcPr>
            <w:tcW w:type="dxa" w:w="1928"/>
            <w:vAlign w:val="center"/>
          </w:tcPr>
          <w:p>
            <w:pPr>
              <w:jc w:val="center"/>
            </w:pPr>
            <w:r>
              <w:rPr>
                <w:b/>
                <w:sz w:val="19"/>
              </w:rPr>
              <w:t>类别</w:t>
            </w:r>
          </w:p>
        </w:tc>
        <w:tc>
          <w:tcPr>
            <w:tcW w:type="dxa" w:w="964"/>
            <w:vAlign w:val="center"/>
          </w:tcPr>
          <w:p>
            <w:pPr>
              <w:jc w:val="center"/>
            </w:pPr>
            <w:r>
              <w:rPr>
                <w:b/>
                <w:sz w:val="19"/>
              </w:rPr>
              <w:t>数量</w:t>
            </w:r>
          </w:p>
        </w:tc>
        <w:tc>
          <w:tcPr>
            <w:tcW w:type="dxa" w:w="1020"/>
            <w:vAlign w:val="center"/>
          </w:tcPr>
          <w:p>
            <w:pPr>
              <w:jc w:val="center"/>
            </w:pPr>
            <w:r>
              <w:rPr>
                <w:b/>
                <w:sz w:val="19"/>
              </w:rPr>
              <w:t>占比</w:t>
            </w:r>
          </w:p>
        </w:tc>
        <w:tc>
          <w:tcPr>
            <w:tcW w:type="dxa" w:w="5953"/>
            <w:vAlign w:val="center"/>
          </w:tcPr>
          <w:p>
            <w:pPr>
              <w:jc w:val="center"/>
            </w:pPr>
            <w:r>
              <w:rPr>
                <w:b/>
                <w:sz w:val="19"/>
              </w:rPr>
              <w:t>解释</w:t>
            </w:r>
          </w:p>
        </w:tc>
      </w:tr>
      <w:tr>
        <w:tc>
          <w:tcPr>
            <w:tcW w:type="dxa" w:w="1928"/>
            <w:vAlign w:val="center"/>
          </w:tcPr>
          <w:p>
            <w:pPr>
              <w:jc w:val="center"/>
            </w:pPr>
            <w:r>
              <w:rPr>
                <w:sz w:val="18"/>
              </w:rPr>
              <w:t>all_methods_miss</w:t>
            </w:r>
          </w:p>
        </w:tc>
        <w:tc>
          <w:tcPr>
            <w:tcW w:type="dxa" w:w="964"/>
            <w:vAlign w:val="center"/>
          </w:tcPr>
          <w:p>
            <w:pPr>
              <w:jc w:val="left"/>
            </w:pPr>
            <w:r>
              <w:rPr>
                <w:sz w:val="18"/>
              </w:rPr>
              <w:t>254</w:t>
            </w:r>
          </w:p>
        </w:tc>
        <w:tc>
          <w:tcPr>
            <w:tcW w:type="dxa" w:w="1020"/>
            <w:vAlign w:val="center"/>
          </w:tcPr>
          <w:p>
            <w:pPr>
              <w:jc w:val="center"/>
            </w:pPr>
            <w:r>
              <w:rPr>
                <w:sz w:val="18"/>
              </w:rPr>
              <w:t>50.8%</w:t>
            </w:r>
          </w:p>
        </w:tc>
        <w:tc>
          <w:tcPr>
            <w:tcW w:type="dxa" w:w="5953"/>
            <w:vAlign w:val="center"/>
          </w:tcPr>
          <w:p>
            <w:pPr>
              <w:jc w:val="center"/>
            </w:pPr>
            <w:r>
              <w:rPr>
                <w:sz w:val="18"/>
              </w:rPr>
              <w:t>四条可用检索链路的前10名均无证据页，属于困难样本或查询-页面语义断裂。</w:t>
            </w:r>
          </w:p>
        </w:tc>
      </w:tr>
      <w:tr>
        <w:tc>
          <w:tcPr>
            <w:tcW w:type="dxa" w:w="1928"/>
            <w:vAlign w:val="center"/>
          </w:tcPr>
          <w:p>
            <w:pPr>
              <w:jc w:val="center"/>
            </w:pPr>
            <w:r>
              <w:rPr>
                <w:sz w:val="18"/>
              </w:rPr>
              <w:t>colsmol_recovers</w:t>
            </w:r>
          </w:p>
        </w:tc>
        <w:tc>
          <w:tcPr>
            <w:tcW w:type="dxa" w:w="964"/>
            <w:vAlign w:val="center"/>
          </w:tcPr>
          <w:p>
            <w:pPr>
              <w:jc w:val="left"/>
            </w:pPr>
            <w:r>
              <w:rPr>
                <w:sz w:val="18"/>
              </w:rPr>
              <w:t>54</w:t>
            </w:r>
          </w:p>
        </w:tc>
        <w:tc>
          <w:tcPr>
            <w:tcW w:type="dxa" w:w="1020"/>
            <w:vAlign w:val="center"/>
          </w:tcPr>
          <w:p>
            <w:pPr>
              <w:jc w:val="center"/>
            </w:pPr>
            <w:r>
              <w:rPr>
                <w:sz w:val="18"/>
              </w:rPr>
              <w:t>10.8%</w:t>
            </w:r>
          </w:p>
        </w:tc>
        <w:tc>
          <w:tcPr>
            <w:tcW w:type="dxa" w:w="5953"/>
            <w:vAlign w:val="center"/>
          </w:tcPr>
          <w:p>
            <w:pPr>
              <w:jc w:val="center"/>
            </w:pPr>
            <w:r>
              <w:rPr>
                <w:sz w:val="18"/>
              </w:rPr>
              <w:t>全局向量或 OCR 失败，但晚交互保留局部词元匹配后成功。</w:t>
            </w:r>
          </w:p>
        </w:tc>
      </w:tr>
      <w:tr>
        <w:tc>
          <w:tcPr>
            <w:tcW w:type="dxa" w:w="1928"/>
            <w:vAlign w:val="center"/>
          </w:tcPr>
          <w:p>
            <w:pPr>
              <w:jc w:val="center"/>
            </w:pPr>
            <w:r>
              <w:rPr>
                <w:sz w:val="18"/>
              </w:rPr>
              <w:t>finetune_recovers</w:t>
            </w:r>
          </w:p>
        </w:tc>
        <w:tc>
          <w:tcPr>
            <w:tcW w:type="dxa" w:w="964"/>
            <w:vAlign w:val="center"/>
          </w:tcPr>
          <w:p>
            <w:pPr>
              <w:jc w:val="left"/>
            </w:pPr>
            <w:r>
              <w:rPr>
                <w:sz w:val="18"/>
              </w:rPr>
              <w:t>30</w:t>
            </w:r>
          </w:p>
        </w:tc>
        <w:tc>
          <w:tcPr>
            <w:tcW w:type="dxa" w:w="1020"/>
            <w:vAlign w:val="center"/>
          </w:tcPr>
          <w:p>
            <w:pPr>
              <w:jc w:val="center"/>
            </w:pPr>
            <w:r>
              <w:rPr>
                <w:sz w:val="18"/>
              </w:rPr>
              <w:t>6.0%</w:t>
            </w:r>
          </w:p>
        </w:tc>
        <w:tc>
          <w:tcPr>
            <w:tcW w:type="dxa" w:w="5953"/>
            <w:vAlign w:val="center"/>
          </w:tcPr>
          <w:p>
            <w:pPr>
              <w:jc w:val="center"/>
            </w:pPr>
            <w:r>
              <w:rPr>
                <w:sz w:val="18"/>
              </w:rPr>
              <w:t>InfoNCE 微调改善了正确页排名。</w:t>
            </w:r>
          </w:p>
        </w:tc>
      </w:tr>
      <w:tr>
        <w:tc>
          <w:tcPr>
            <w:tcW w:type="dxa" w:w="1928"/>
            <w:vAlign w:val="center"/>
          </w:tcPr>
          <w:p>
            <w:pPr>
              <w:jc w:val="center"/>
            </w:pPr>
            <w:r>
              <w:rPr>
                <w:sz w:val="18"/>
              </w:rPr>
              <w:t>ocr_advantage</w:t>
            </w:r>
          </w:p>
        </w:tc>
        <w:tc>
          <w:tcPr>
            <w:tcW w:type="dxa" w:w="964"/>
            <w:vAlign w:val="center"/>
          </w:tcPr>
          <w:p>
            <w:pPr>
              <w:jc w:val="left"/>
            </w:pPr>
            <w:r>
              <w:rPr>
                <w:sz w:val="18"/>
              </w:rPr>
              <w:t>3</w:t>
            </w:r>
          </w:p>
        </w:tc>
        <w:tc>
          <w:tcPr>
            <w:tcW w:type="dxa" w:w="1020"/>
            <w:vAlign w:val="center"/>
          </w:tcPr>
          <w:p>
            <w:pPr>
              <w:jc w:val="center"/>
            </w:pPr>
            <w:r>
              <w:rPr>
                <w:sz w:val="18"/>
              </w:rPr>
              <w:t>0.6%</w:t>
            </w:r>
          </w:p>
        </w:tc>
        <w:tc>
          <w:tcPr>
            <w:tcW w:type="dxa" w:w="5953"/>
            <w:vAlign w:val="center"/>
          </w:tcPr>
          <w:p>
            <w:pPr>
              <w:jc w:val="center"/>
            </w:pPr>
            <w:r>
              <w:rPr>
                <w:sz w:val="18"/>
              </w:rPr>
              <w:t>OCR 文本直接命中关键字符串，说明纯视觉向量并非所有问题都占优。</w:t>
            </w:r>
          </w:p>
        </w:tc>
      </w:tr>
      <w:tr>
        <w:tc>
          <w:tcPr>
            <w:tcW w:type="dxa" w:w="1928"/>
            <w:vAlign w:val="center"/>
          </w:tcPr>
          <w:p>
            <w:pPr>
              <w:jc w:val="center"/>
            </w:pPr>
            <w:r>
              <w:rPr>
                <w:sz w:val="18"/>
              </w:rPr>
              <w:t>ranked_below_top3</w:t>
            </w:r>
          </w:p>
        </w:tc>
        <w:tc>
          <w:tcPr>
            <w:tcW w:type="dxa" w:w="964"/>
            <w:vAlign w:val="center"/>
          </w:tcPr>
          <w:p>
            <w:pPr>
              <w:jc w:val="left"/>
            </w:pPr>
            <w:r>
              <w:rPr>
                <w:sz w:val="18"/>
              </w:rPr>
              <w:t>37</w:t>
            </w:r>
          </w:p>
        </w:tc>
        <w:tc>
          <w:tcPr>
            <w:tcW w:type="dxa" w:w="1020"/>
            <w:vAlign w:val="center"/>
          </w:tcPr>
          <w:p>
            <w:pPr>
              <w:jc w:val="center"/>
            </w:pPr>
            <w:r>
              <w:rPr>
                <w:sz w:val="18"/>
              </w:rPr>
              <w:t>7.4%</w:t>
            </w:r>
          </w:p>
        </w:tc>
        <w:tc>
          <w:tcPr>
            <w:tcW w:type="dxa" w:w="5953"/>
            <w:vAlign w:val="center"/>
          </w:tcPr>
          <w:p>
            <w:pPr>
              <w:jc w:val="center"/>
            </w:pPr>
            <w:r>
              <w:rPr>
                <w:sz w:val="18"/>
              </w:rPr>
              <w:t>证据在第4至10名，扩大 Top-K 可提升召回但会增加生成成本。</w:t>
            </w:r>
          </w:p>
        </w:tc>
      </w:tr>
      <w:tr>
        <w:tc>
          <w:tcPr>
            <w:tcW w:type="dxa" w:w="1928"/>
            <w:vAlign w:val="center"/>
          </w:tcPr>
          <w:p>
            <w:pPr>
              <w:jc w:val="center"/>
            </w:pPr>
            <w:r>
              <w:rPr>
                <w:sz w:val="18"/>
              </w:rPr>
              <w:t>top3_success</w:t>
            </w:r>
          </w:p>
        </w:tc>
        <w:tc>
          <w:tcPr>
            <w:tcW w:type="dxa" w:w="964"/>
            <w:vAlign w:val="center"/>
          </w:tcPr>
          <w:p>
            <w:pPr>
              <w:jc w:val="left"/>
            </w:pPr>
            <w:r>
              <w:rPr>
                <w:sz w:val="18"/>
              </w:rPr>
              <w:t>122</w:t>
            </w:r>
          </w:p>
        </w:tc>
        <w:tc>
          <w:tcPr>
            <w:tcW w:type="dxa" w:w="1020"/>
            <w:vAlign w:val="center"/>
          </w:tcPr>
          <w:p>
            <w:pPr>
              <w:jc w:val="center"/>
            </w:pPr>
            <w:r>
              <w:rPr>
                <w:sz w:val="18"/>
              </w:rPr>
              <w:t>24.4%</w:t>
            </w:r>
          </w:p>
        </w:tc>
        <w:tc>
          <w:tcPr>
            <w:tcW w:type="dxa" w:w="5953"/>
            <w:vAlign w:val="center"/>
          </w:tcPr>
          <w:p>
            <w:pPr>
              <w:jc w:val="center"/>
            </w:pPr>
            <w:r>
              <w:rPr>
                <w:sz w:val="18"/>
              </w:rPr>
              <w:t>至少一种方法在前三名命中，不计为主要失败。</w:t>
            </w:r>
          </w:p>
        </w:tc>
      </w:tr>
    </w:tbl>
    <w:p>
      <w:pPr>
        <w:spacing w:after="0"/>
      </w:pPr>
    </w:p>
    <w:p>
      <w:pPr>
        <w:jc w:val="both"/>
      </w:pPr>
      <w:r>
        <w:t>最大问题是254条样本在四条具有逐条结果的检索链路中均未进入前10，说明仅靠扩大Top-K无法解决这些样本。54条样本由ColSmol单独救回前三，体现局部视觉词元晚交互的优势；30条样本由InfoNCE微调把证据页提升到前三，说明微调主要改善部分边界样本；另有3条OCR路径排名更靠前，提示融合OCR精确文本匹配仍有价值。难负例方案没有保存逐Query结果，因此失败归因采用其余四条可追溯链路，难负例仅进入总体基线表。</w:t>
      </w:r>
    </w:p>
    <w:p>
      <w:pPr>
        <w:pStyle w:val="Heading2"/>
        <w:keepNext/>
        <w:spacing w:before="160" w:after="160"/>
      </w:pPr>
      <w:r>
        <w:t>案例 chartqa_q_005503：all_methods_miss</w:t>
      </w:r>
    </w:p>
    <w:p>
      <w:pPr>
        <w:jc w:val="both"/>
      </w:pPr>
      <w:r>
        <w:t>Query：How many bars are shown in the chart?。证据页排名分别为 SigLIP零样本 999、微调SigLIP 999、OCR+BGE 999、ColSmol 999。原因判断：所有方法前10均未召回证据，需检查视觉相似页面、Query歧义或小文字问题。</w:t>
      </w:r>
    </w:p>
    <w:p>
      <w:pPr>
        <w:pStyle w:val="Heading2"/>
        <w:keepNext/>
        <w:spacing w:before="160" w:after="160"/>
      </w:pPr>
      <w:r>
        <w:t>案例 chartqa_q_005505：all_methods_miss</w:t>
      </w:r>
    </w:p>
    <w:p>
      <w:pPr>
        <w:jc w:val="both"/>
      </w:pPr>
      <w:r>
        <w:t>Query：What's the value of the lowest bar?。证据页排名分别为 SigLIP零样本 999、微调SigLIP 999、OCR+BGE 999、ColSmol 999。原因判断：所有方法前10均未召回证据，需检查视觉相似页面、Query歧义或小文字问题。</w:t>
      </w:r>
    </w:p>
    <w:p>
      <w:pPr>
        <w:pStyle w:val="Heading2"/>
        <w:keepNext/>
        <w:spacing w:before="160" w:after="160"/>
      </w:pPr>
      <w:r>
        <w:t>案例 chartqa_q_005506：all_methods_miss</w:t>
      </w:r>
    </w:p>
    <w:p>
      <w:pPr>
        <w:jc w:val="both"/>
      </w:pPr>
      <w:r>
        <w:t>Query：What is the difference between the highest and the lowest green bar??。证据页排名分别为 SigLIP零样本 999、微调SigLIP 999、OCR+BGE 999、ColSmol 999。原因判断：所有方法前10均未召回证据，需检查视觉相似页面、Query歧义或小文字问题。</w:t>
      </w:r>
    </w:p>
    <w:p>
      <w:pPr>
        <w:pStyle w:val="Heading2"/>
        <w:keepNext/>
        <w:spacing w:before="160" w:after="160"/>
      </w:pPr>
      <w:r>
        <w:t>案例 chartqa_q_005512：all_methods_miss</w:t>
      </w:r>
    </w:p>
    <w:p>
      <w:pPr>
        <w:jc w:val="both"/>
      </w:pPr>
      <w:r>
        <w:t>Query：What is the difference in value between Green bar and Orange bar?。证据页排名分别为 SigLIP零样本 999、微调SigLIP 999、OCR+BGE 999、ColSmol 999。原因判断：所有方法前10均未召回证据，需检查视觉相似页面、Query歧义或小文字问题。</w:t>
      </w:r>
    </w:p>
    <w:p>
      <w:pPr>
        <w:pStyle w:val="Heading2"/>
        <w:keepNext/>
        <w:spacing w:before="160" w:after="160"/>
      </w:pPr>
      <w:r>
        <w:t>案例 chartqa_q_005516：all_methods_miss</w:t>
      </w:r>
    </w:p>
    <w:p>
      <w:pPr>
        <w:jc w:val="both"/>
      </w:pPr>
      <w:r>
        <w:t>Query：Two segments have the same percentage value, what's that value?。证据页排名分别为 SigLIP零样本 999、微调SigLIP 999、OCR+BGE 999、ColSmol 999。原因判断：所有方法前10均未召回证据，需检查视觉相似页面、Query歧义或小文字问题。</w:t>
      </w:r>
    </w:p>
    <w:p>
      <w:pPr>
        <w:pStyle w:val="Heading2"/>
        <w:keepNext/>
        <w:spacing w:before="160" w:after="160"/>
      </w:pPr>
      <w:r>
        <w:t>案例 chartqa_q_005517：all_methods_miss</w:t>
      </w:r>
    </w:p>
    <w:p>
      <w:pPr>
        <w:jc w:val="both"/>
      </w:pPr>
      <w:r>
        <w:t>Query：When does the line reach the peak?。证据页排名分别为 SigLIP零样本 999、微调SigLIP 999、OCR+BGE 999、ColSmol 999。原因判断：所有方法前10均未召回证据，需检查视觉相似页面、Query歧义或小文字问题。</w:t>
      </w:r>
    </w:p>
    <w:p>
      <w:pPr>
        <w:pStyle w:val="Heading2"/>
        <w:keepNext/>
        <w:spacing w:before="160" w:after="160"/>
      </w:pPr>
      <w:r>
        <w:t>案例 chartqa_q_005534：colsmol_recovers</w:t>
      </w:r>
    </w:p>
    <w:p>
      <w:pPr>
        <w:jc w:val="both"/>
      </w:pPr>
      <w:r>
        <w:t>Query：Is the Not at all value of Use military force wisely more than Handle an international crisis?。证据页排名分别为 SigLIP零样本 999、微调SigLIP 999、OCR+BGE 999、ColSmol 1。原因判断：ColSmol局部晚交互成功，其他全局/OCR表示未进入前三。</w:t>
      </w:r>
    </w:p>
    <w:p>
      <w:pPr>
        <w:pStyle w:val="Heading2"/>
        <w:keepNext/>
        <w:spacing w:before="160" w:after="160"/>
      </w:pPr>
      <w:r>
        <w:t>案例 chartqa_q_005537：colsmol_recovers</w:t>
      </w:r>
    </w:p>
    <w:p>
      <w:pPr>
        <w:jc w:val="both"/>
      </w:pPr>
      <w:r>
        <w:t>Query：How many waited in Total for 10mins?。证据页排名分别为 SigLIP零样本 999、微调SigLIP 999、OCR+BGE 999、ColSmol 1。原因判断：ColSmol局部晚交互成功，其他全局/OCR表示未进入前三。</w:t>
      </w:r>
    </w:p>
    <w:p>
      <w:pPr>
        <w:pStyle w:val="Heading1"/>
        <w:keepNext/>
        <w:spacing w:before="280" w:after="160"/>
      </w:pPr>
      <w:r>
        <w:t>4 四种 SmolVLM 问答方案比较</w:t>
      </w:r>
    </w:p>
    <w:tbl>
      <w:tblPr>
        <w:tblW w:type="auto" w:w="0"/>
        <w:jc w:val="center"/>
        <w:tblLayout w:type="fixed"/>
        <w:tblLook w:firstColumn="1" w:firstRow="1" w:lastColumn="0" w:lastRow="0" w:noHBand="0" w:noVBand="1" w:val="04A0"/>
        <w:tblBorders>
          <w:top w:val="single" w:sz="12" w:color="000000"/>
          <w:insideH w:val="single" w:sz="4" w:color="000000"/>
          <w:bottom w:val="single" w:sz="12" w:color="000000"/>
          <w:left w:val="nil"/>
          <w:right w:val="nil"/>
          <w:insideV w:val="nil"/>
        </w:tblBorders>
      </w:tblPr>
      <w:tblGrid>
        <w:gridCol w:w="1344"/>
        <w:gridCol w:w="1344"/>
        <w:gridCol w:w="1344"/>
        <w:gridCol w:w="1344"/>
        <w:gridCol w:w="1344"/>
        <w:gridCol w:w="1344"/>
        <w:gridCol w:w="1344"/>
      </w:tblGrid>
      <w:tr>
        <w:tc>
          <w:tcPr>
            <w:tcW w:type="dxa" w:w="1701"/>
            <w:vAlign w:val="center"/>
          </w:tcPr>
          <w:p>
            <w:pPr>
              <w:jc w:val="center"/>
            </w:pPr>
            <w:r>
              <w:rPr>
                <w:b/>
                <w:sz w:val="19"/>
              </w:rPr>
              <w:t>方案</w:t>
            </w:r>
          </w:p>
        </w:tc>
        <w:tc>
          <w:tcPr>
            <w:tcW w:type="dxa" w:w="2608"/>
            <w:vAlign w:val="center"/>
          </w:tcPr>
          <w:p>
            <w:pPr>
              <w:jc w:val="center"/>
            </w:pPr>
            <w:r>
              <w:rPr>
                <w:b/>
                <w:sz w:val="19"/>
              </w:rPr>
              <w:t>作用</w:t>
            </w:r>
          </w:p>
        </w:tc>
        <w:tc>
          <w:tcPr>
            <w:tcW w:type="dxa" w:w="1134"/>
            <w:vAlign w:val="center"/>
          </w:tcPr>
          <w:p>
            <w:pPr>
              <w:jc w:val="center"/>
            </w:pPr>
            <w:r>
              <w:rPr>
                <w:b/>
                <w:sz w:val="19"/>
              </w:rPr>
              <w:t>证据召回率</w:t>
            </w:r>
          </w:p>
        </w:tc>
        <w:tc>
          <w:tcPr>
            <w:tcW w:type="dxa" w:w="1134"/>
            <w:vAlign w:val="center"/>
          </w:tcPr>
          <w:p>
            <w:pPr>
              <w:jc w:val="center"/>
            </w:pPr>
            <w:r>
              <w:rPr>
                <w:b/>
                <w:sz w:val="19"/>
              </w:rPr>
              <w:t>完全匹配率</w:t>
            </w:r>
          </w:p>
        </w:tc>
        <w:tc>
          <w:tcPr>
            <w:tcW w:type="dxa" w:w="1134"/>
            <w:vAlign w:val="center"/>
          </w:tcPr>
          <w:p>
            <w:pPr>
              <w:jc w:val="center"/>
            </w:pPr>
            <w:r>
              <w:rPr>
                <w:b/>
                <w:sz w:val="19"/>
              </w:rPr>
              <w:t>宽松准确率</w:t>
            </w:r>
          </w:p>
        </w:tc>
        <w:tc>
          <w:tcPr>
            <w:tcW w:type="dxa" w:w="1531"/>
            <w:vAlign w:val="center"/>
          </w:tcPr>
          <w:p>
            <w:pPr>
              <w:jc w:val="center"/>
            </w:pPr>
            <w:r>
              <w:rPr>
                <w:b/>
                <w:sz w:val="19"/>
              </w:rPr>
              <w:t>命中证据后的准确率</w:t>
            </w:r>
          </w:p>
        </w:tc>
        <w:tc>
          <w:tcPr>
            <w:tcW w:type="dxa" w:w="1531"/>
            <w:vAlign w:val="center"/>
          </w:tcPr>
          <w:p>
            <w:pPr>
              <w:jc w:val="center"/>
            </w:pPr>
            <w:r>
              <w:rPr>
                <w:b/>
                <w:sz w:val="19"/>
              </w:rPr>
              <w:t>平均生成耗时(ms)</w:t>
            </w:r>
          </w:p>
        </w:tc>
      </w:tr>
      <w:tr>
        <w:tc>
          <w:tcPr>
            <w:tcW w:type="dxa" w:w="1701"/>
            <w:vAlign w:val="center"/>
          </w:tcPr>
          <w:p>
            <w:pPr>
              <w:jc w:val="center"/>
            </w:pPr>
            <w:r>
              <w:rPr>
                <w:sz w:val="18"/>
              </w:rPr>
              <w:t>Oracle Page</w:t>
            </w:r>
          </w:p>
        </w:tc>
        <w:tc>
          <w:tcPr>
            <w:tcW w:type="dxa" w:w="2608"/>
            <w:vAlign w:val="center"/>
          </w:tcPr>
          <w:p>
            <w:pPr>
              <w:jc w:val="left"/>
            </w:pPr>
            <w:r>
              <w:rPr>
                <w:sz w:val="18"/>
              </w:rPr>
              <w:t>直接给标准证据页，测生成上限</w:t>
            </w:r>
          </w:p>
        </w:tc>
        <w:tc>
          <w:tcPr>
            <w:tcW w:type="dxa" w:w="1134"/>
            <w:vAlign w:val="center"/>
          </w:tcPr>
          <w:p>
            <w:pPr>
              <w:jc w:val="center"/>
            </w:pPr>
            <w:r>
              <w:rPr>
                <w:sz w:val="18"/>
              </w:rPr>
              <w:t>1.0</w:t>
            </w:r>
          </w:p>
        </w:tc>
        <w:tc>
          <w:tcPr>
            <w:tcW w:type="dxa" w:w="1134"/>
            <w:vAlign w:val="center"/>
          </w:tcPr>
          <w:p>
            <w:pPr>
              <w:jc w:val="center"/>
            </w:pPr>
            <w:r>
              <w:rPr>
                <w:sz w:val="18"/>
              </w:rPr>
              <w:t>0.318</w:t>
            </w:r>
          </w:p>
        </w:tc>
        <w:tc>
          <w:tcPr>
            <w:tcW w:type="dxa" w:w="1134"/>
            <w:vAlign w:val="center"/>
          </w:tcPr>
          <w:p>
            <w:pPr>
              <w:jc w:val="center"/>
            </w:pPr>
            <w:r>
              <w:rPr>
                <w:sz w:val="18"/>
              </w:rPr>
              <w:t>0.346</w:t>
            </w:r>
          </w:p>
        </w:tc>
        <w:tc>
          <w:tcPr>
            <w:tcW w:type="dxa" w:w="1531"/>
            <w:vAlign w:val="center"/>
          </w:tcPr>
          <w:p>
            <w:pPr>
              <w:jc w:val="center"/>
            </w:pPr>
            <w:r>
              <w:rPr>
                <w:sz w:val="18"/>
              </w:rPr>
              <w:t>0.346</w:t>
            </w:r>
          </w:p>
        </w:tc>
        <w:tc>
          <w:tcPr>
            <w:tcW w:type="dxa" w:w="1531"/>
            <w:vAlign w:val="center"/>
          </w:tcPr>
          <w:p>
            <w:pPr>
              <w:jc w:val="center"/>
            </w:pPr>
            <w:r>
              <w:rPr>
                <w:sz w:val="18"/>
              </w:rPr>
              <w:t>466.3</w:t>
            </w:r>
          </w:p>
        </w:tc>
      </w:tr>
      <w:tr>
        <w:tc>
          <w:tcPr>
            <w:tcW w:type="dxa" w:w="1701"/>
            <w:vAlign w:val="center"/>
          </w:tcPr>
          <w:p>
            <w:pPr>
              <w:jc w:val="center"/>
            </w:pPr>
            <w:r>
              <w:rPr>
                <w:sz w:val="18"/>
              </w:rPr>
              <w:t>Top-1</w:t>
            </w:r>
          </w:p>
        </w:tc>
        <w:tc>
          <w:tcPr>
            <w:tcW w:type="dxa" w:w="2608"/>
            <w:vAlign w:val="center"/>
          </w:tcPr>
          <w:p>
            <w:pPr>
              <w:jc w:val="left"/>
            </w:pPr>
            <w:r>
              <w:rPr>
                <w:sz w:val="18"/>
              </w:rPr>
              <w:t>ColSmol 第一名页面单图问答</w:t>
            </w:r>
          </w:p>
        </w:tc>
        <w:tc>
          <w:tcPr>
            <w:tcW w:type="dxa" w:w="1134"/>
            <w:vAlign w:val="center"/>
          </w:tcPr>
          <w:p>
            <w:pPr>
              <w:jc w:val="center"/>
            </w:pPr>
            <w:r>
              <w:rPr>
                <w:sz w:val="18"/>
              </w:rPr>
              <w:t>0.332</w:t>
            </w:r>
          </w:p>
        </w:tc>
        <w:tc>
          <w:tcPr>
            <w:tcW w:type="dxa" w:w="1134"/>
            <w:vAlign w:val="center"/>
          </w:tcPr>
          <w:p>
            <w:pPr>
              <w:jc w:val="center"/>
            </w:pPr>
            <w:r>
              <w:rPr>
                <w:sz w:val="18"/>
              </w:rPr>
              <w:t>0.154</w:t>
            </w:r>
          </w:p>
        </w:tc>
        <w:tc>
          <w:tcPr>
            <w:tcW w:type="dxa" w:w="1134"/>
            <w:vAlign w:val="center"/>
          </w:tcPr>
          <w:p>
            <w:pPr>
              <w:jc w:val="center"/>
            </w:pPr>
            <w:r>
              <w:rPr>
                <w:sz w:val="18"/>
              </w:rPr>
              <w:t>0.184</w:t>
            </w:r>
          </w:p>
        </w:tc>
        <w:tc>
          <w:tcPr>
            <w:tcW w:type="dxa" w:w="1531"/>
            <w:vAlign w:val="center"/>
          </w:tcPr>
          <w:p>
            <w:pPr>
              <w:jc w:val="center"/>
            </w:pPr>
            <w:r>
              <w:rPr>
                <w:sz w:val="18"/>
              </w:rPr>
              <w:t>0.3675</w:t>
            </w:r>
          </w:p>
        </w:tc>
        <w:tc>
          <w:tcPr>
            <w:tcW w:type="dxa" w:w="1531"/>
            <w:vAlign w:val="center"/>
          </w:tcPr>
          <w:p>
            <w:pPr>
              <w:jc w:val="center"/>
            </w:pPr>
            <w:r>
              <w:rPr>
                <w:sz w:val="18"/>
              </w:rPr>
              <w:t>455.1</w:t>
            </w:r>
          </w:p>
        </w:tc>
      </w:tr>
      <w:tr>
        <w:tc>
          <w:tcPr>
            <w:tcW w:type="dxa" w:w="1701"/>
            <w:vAlign w:val="center"/>
          </w:tcPr>
          <w:p>
            <w:pPr>
              <w:jc w:val="center"/>
            </w:pPr>
            <w:r>
              <w:rPr>
                <w:sz w:val="18"/>
              </w:rPr>
              <w:t>Top-3 sequential</w:t>
            </w:r>
          </w:p>
        </w:tc>
        <w:tc>
          <w:tcPr>
            <w:tcW w:type="dxa" w:w="2608"/>
            <w:vAlign w:val="center"/>
          </w:tcPr>
          <w:p>
            <w:pPr>
              <w:jc w:val="left"/>
            </w:pPr>
            <w:r>
              <w:rPr>
                <w:sz w:val="18"/>
              </w:rPr>
              <w:t>三页分别推理后加权融合</w:t>
            </w:r>
          </w:p>
        </w:tc>
        <w:tc>
          <w:tcPr>
            <w:tcW w:type="dxa" w:w="1134"/>
            <w:vAlign w:val="center"/>
          </w:tcPr>
          <w:p>
            <w:pPr>
              <w:jc w:val="center"/>
            </w:pPr>
            <w:r>
              <w:rPr>
                <w:sz w:val="18"/>
              </w:rPr>
              <w:t>0.39</w:t>
            </w:r>
          </w:p>
        </w:tc>
        <w:tc>
          <w:tcPr>
            <w:tcW w:type="dxa" w:w="1134"/>
            <w:vAlign w:val="center"/>
          </w:tcPr>
          <w:p>
            <w:pPr>
              <w:jc w:val="center"/>
            </w:pPr>
            <w:r>
              <w:rPr>
                <w:sz w:val="18"/>
              </w:rPr>
              <w:t>0.158</w:t>
            </w:r>
          </w:p>
        </w:tc>
        <w:tc>
          <w:tcPr>
            <w:tcW w:type="dxa" w:w="1134"/>
            <w:vAlign w:val="center"/>
          </w:tcPr>
          <w:p>
            <w:pPr>
              <w:jc w:val="center"/>
            </w:pPr>
            <w:r>
              <w:rPr>
                <w:sz w:val="18"/>
              </w:rPr>
              <w:t>0.186</w:t>
            </w:r>
          </w:p>
        </w:tc>
        <w:tc>
          <w:tcPr>
            <w:tcW w:type="dxa" w:w="1531"/>
            <w:vAlign w:val="center"/>
          </w:tcPr>
          <w:p>
            <w:pPr>
              <w:jc w:val="center"/>
            </w:pPr>
            <w:r>
              <w:rPr>
                <w:sz w:val="18"/>
              </w:rPr>
              <w:t>0.3333</w:t>
            </w:r>
          </w:p>
        </w:tc>
        <w:tc>
          <w:tcPr>
            <w:tcW w:type="dxa" w:w="1531"/>
            <w:vAlign w:val="center"/>
          </w:tcPr>
          <w:p>
            <w:pPr>
              <w:jc w:val="center"/>
            </w:pPr>
            <w:r>
              <w:rPr>
                <w:sz w:val="18"/>
              </w:rPr>
              <w:t>1369.5</w:t>
            </w:r>
          </w:p>
        </w:tc>
      </w:tr>
      <w:tr>
        <w:tc>
          <w:tcPr>
            <w:tcW w:type="dxa" w:w="1701"/>
            <w:vAlign w:val="center"/>
          </w:tcPr>
          <w:p>
            <w:pPr>
              <w:jc w:val="center"/>
            </w:pPr>
            <w:r>
              <w:rPr>
                <w:sz w:val="18"/>
              </w:rPr>
              <w:t>Top-3 collage</w:t>
            </w:r>
          </w:p>
        </w:tc>
        <w:tc>
          <w:tcPr>
            <w:tcW w:type="dxa" w:w="2608"/>
            <w:vAlign w:val="center"/>
          </w:tcPr>
          <w:p>
            <w:pPr>
              <w:jc w:val="left"/>
            </w:pPr>
            <w:r>
              <w:rPr>
                <w:sz w:val="18"/>
              </w:rPr>
              <w:t>三页拼图后一次推理</w:t>
            </w:r>
          </w:p>
        </w:tc>
        <w:tc>
          <w:tcPr>
            <w:tcW w:type="dxa" w:w="1134"/>
            <w:vAlign w:val="center"/>
          </w:tcPr>
          <w:p>
            <w:pPr>
              <w:jc w:val="center"/>
            </w:pPr>
            <w:r>
              <w:rPr>
                <w:sz w:val="18"/>
              </w:rPr>
              <w:t>0.39</w:t>
            </w:r>
          </w:p>
        </w:tc>
        <w:tc>
          <w:tcPr>
            <w:tcW w:type="dxa" w:w="1134"/>
            <w:vAlign w:val="center"/>
          </w:tcPr>
          <w:p>
            <w:pPr>
              <w:jc w:val="center"/>
            </w:pPr>
            <w:r>
              <w:rPr>
                <w:sz w:val="18"/>
              </w:rPr>
              <w:t>0.098</w:t>
            </w:r>
          </w:p>
        </w:tc>
        <w:tc>
          <w:tcPr>
            <w:tcW w:type="dxa" w:w="1134"/>
            <w:vAlign w:val="center"/>
          </w:tcPr>
          <w:p>
            <w:pPr>
              <w:jc w:val="center"/>
            </w:pPr>
            <w:r>
              <w:rPr>
                <w:sz w:val="18"/>
              </w:rPr>
              <w:t>0.126</w:t>
            </w:r>
          </w:p>
        </w:tc>
        <w:tc>
          <w:tcPr>
            <w:tcW w:type="dxa" w:w="1531"/>
            <w:vAlign w:val="center"/>
          </w:tcPr>
          <w:p>
            <w:pPr>
              <w:jc w:val="center"/>
            </w:pPr>
            <w:r>
              <w:rPr>
                <w:sz w:val="18"/>
              </w:rPr>
              <w:t>0.2</w:t>
            </w:r>
          </w:p>
        </w:tc>
        <w:tc>
          <w:tcPr>
            <w:tcW w:type="dxa" w:w="1531"/>
            <w:vAlign w:val="center"/>
          </w:tcPr>
          <w:p>
            <w:pPr>
              <w:jc w:val="center"/>
            </w:pPr>
            <w:r>
              <w:rPr>
                <w:sz w:val="18"/>
              </w:rPr>
              <w:t>350.3</w:t>
            </w:r>
          </w:p>
        </w:tc>
      </w:tr>
    </w:tbl>
    <w:p>
      <w:pPr>
        <w:spacing w:after="0"/>
      </w:pPr>
    </w:p>
    <w:p>
      <w:pPr>
        <w:jc w:val="both"/>
      </w:pPr>
      <w:r>
        <w:t>Oracle Page 的宽松准确率只有0.3460，说明即使证据完全正确，SmolVLM-500M仍是明显瓶颈。ColSmol Top-1 的宽松准确率为0.1840，Top-3逐页融合仅升至0.1860，却把平均耗时从455.1 ms提高到1369.5 ms。Top-3拼图虽只需350.3 ms，但准确率降到0.1260，表明缩放和视觉拥挤造成信息损失。现有单页测试下，ColSmol Top-1是较合理的速度—准确率折中。</w:t>
      </w:r>
    </w:p>
    <w:p>
      <w:pPr>
        <w:pStyle w:val="Heading1"/>
        <w:keepNext/>
        <w:spacing w:before="280" w:after="160"/>
      </w:pPr>
      <w:r>
        <w:t>5 连续多页小型验证集</w:t>
      </w:r>
    </w:p>
    <w:p>
      <w:pPr>
        <w:jc w:val="both"/>
      </w:pPr>
      <w:r>
        <w:t>新验证集包含10份财务报告、30张连续页面和40条问答。每份报告固定三页：第1页记录2025年收入、成本和员工数；第2页记录2026年对应数据；第3页记录研发支出等补充指标。四类问题分别考察收入增量、经营利润变化、员工增量，以及2026年经营利润与研发支出的跨页求和。每题标注两个必要证据页，并设置 requires_all_evidence_pages=true。</w:t>
      </w:r>
    </w:p>
    <w:p>
      <w:pPr>
        <w:jc w:val="center"/>
      </w:pPr>
      <w:r>
        <w:drawing>
          <wp:inline xmlns:a="http://schemas.openxmlformats.org/drawingml/2006/main" xmlns:pic="http://schemas.openxmlformats.org/drawingml/2006/picture">
            <wp:extent cx="2951999" cy="4006284"/>
            <wp:docPr id="1" name="Picture 1"/>
            <wp:cNvGraphicFramePr>
              <a:graphicFrameLocks noChangeAspect="1"/>
            </wp:cNvGraphicFramePr>
            <a:graphic>
              <a:graphicData uri="http://schemas.openxmlformats.org/drawingml/2006/picture">
                <pic:pic>
                  <pic:nvPicPr>
                    <pic:cNvPr id="0" name="finance_01_aster_p1.png"/>
                    <pic:cNvPicPr/>
                  </pic:nvPicPr>
                  <pic:blipFill>
                    <a:blip r:embed="rId9"/>
                    <a:stretch>
                      <a:fillRect/>
                    </a:stretch>
                  </pic:blipFill>
                  <pic:spPr>
                    <a:xfrm>
                      <a:off x="0" y="0"/>
                      <a:ext cx="2951999" cy="4006284"/>
                    </a:xfrm>
                    <a:prstGeom prst="rect"/>
                  </pic:spPr>
                </pic:pic>
              </a:graphicData>
            </a:graphic>
          </wp:inline>
        </w:drawing>
      </w:r>
    </w:p>
    <w:p>
      <w:pPr>
        <w:pStyle w:val="Caption"/>
        <w:jc w:val="center"/>
      </w:pPr>
      <w:r>
        <w:t>图5-1  Aster Holdings 连续财务报告第1页</w:t>
      </w:r>
    </w:p>
    <w:p>
      <w:pPr>
        <w:jc w:val="center"/>
      </w:pPr>
      <w:r>
        <w:drawing>
          <wp:inline xmlns:a="http://schemas.openxmlformats.org/drawingml/2006/main" xmlns:pic="http://schemas.openxmlformats.org/drawingml/2006/picture">
            <wp:extent cx="2951999" cy="4006284"/>
            <wp:docPr id="2" name="Picture 2"/>
            <wp:cNvGraphicFramePr>
              <a:graphicFrameLocks noChangeAspect="1"/>
            </wp:cNvGraphicFramePr>
            <a:graphic>
              <a:graphicData uri="http://schemas.openxmlformats.org/drawingml/2006/picture">
                <pic:pic>
                  <pic:nvPicPr>
                    <pic:cNvPr id="0" name="finance_01_aster_p2.png"/>
                    <pic:cNvPicPr/>
                  </pic:nvPicPr>
                  <pic:blipFill>
                    <a:blip r:embed="rId10"/>
                    <a:stretch>
                      <a:fillRect/>
                    </a:stretch>
                  </pic:blipFill>
                  <pic:spPr>
                    <a:xfrm>
                      <a:off x="0" y="0"/>
                      <a:ext cx="2951999" cy="4006284"/>
                    </a:xfrm>
                    <a:prstGeom prst="rect"/>
                  </pic:spPr>
                </pic:pic>
              </a:graphicData>
            </a:graphic>
          </wp:inline>
        </w:drawing>
      </w:r>
    </w:p>
    <w:p>
      <w:pPr>
        <w:pStyle w:val="Caption"/>
        <w:jc w:val="center"/>
      </w:pPr>
      <w:r>
        <w:t>图5-2  Aster Holdings 连续财务报告第2页</w:t>
      </w:r>
    </w:p>
    <w:p>
      <w:pPr>
        <w:jc w:val="center"/>
      </w:pPr>
      <w:r>
        <w:drawing>
          <wp:inline xmlns:a="http://schemas.openxmlformats.org/drawingml/2006/main" xmlns:pic="http://schemas.openxmlformats.org/drawingml/2006/picture">
            <wp:extent cx="2951999" cy="4006284"/>
            <wp:docPr id="3" name="Picture 3"/>
            <wp:cNvGraphicFramePr>
              <a:graphicFrameLocks noChangeAspect="1"/>
            </wp:cNvGraphicFramePr>
            <a:graphic>
              <a:graphicData uri="http://schemas.openxmlformats.org/drawingml/2006/picture">
                <pic:pic>
                  <pic:nvPicPr>
                    <pic:cNvPr id="0" name="finance_01_aster_p3.png"/>
                    <pic:cNvPicPr/>
                  </pic:nvPicPr>
                  <pic:blipFill>
                    <a:blip r:embed="rId11"/>
                    <a:stretch>
                      <a:fillRect/>
                    </a:stretch>
                  </pic:blipFill>
                  <pic:spPr>
                    <a:xfrm>
                      <a:off x="0" y="0"/>
                      <a:ext cx="2951999" cy="4006284"/>
                    </a:xfrm>
                    <a:prstGeom prst="rect"/>
                  </pic:spPr>
                </pic:pic>
              </a:graphicData>
            </a:graphic>
          </wp:inline>
        </w:drawing>
      </w:r>
    </w:p>
    <w:p>
      <w:pPr>
        <w:pStyle w:val="Caption"/>
        <w:jc w:val="center"/>
      </w:pPr>
      <w:r>
        <w:t>图5-3  Aster Holdings 连续财务报告第3页</w:t>
      </w:r>
    </w:p>
    <w:tbl>
      <w:tblPr>
        <w:tblW w:type="auto" w:w="0"/>
        <w:jc w:val="center"/>
        <w:tblLayout w:type="fixed"/>
        <w:tblLook w:firstColumn="1" w:firstRow="1" w:lastColumn="0" w:lastRow="0" w:noHBand="0" w:noVBand="1" w:val="04A0"/>
        <w:tblBorders>
          <w:top w:val="single" w:sz="12" w:color="000000"/>
          <w:insideH w:val="single" w:sz="4" w:color="000000"/>
          <w:bottom w:val="single" w:sz="12" w:color="000000"/>
          <w:left w:val="nil"/>
          <w:right w:val="nil"/>
          <w:insideV w:val="nil"/>
        </w:tblBorders>
      </w:tblPr>
      <w:tblGrid>
        <w:gridCol w:w="1881"/>
        <w:gridCol w:w="1881"/>
        <w:gridCol w:w="1881"/>
        <w:gridCol w:w="1881"/>
        <w:gridCol w:w="1881"/>
      </w:tblGrid>
      <w:tr>
        <w:tc>
          <w:tcPr>
            <w:tcW w:type="dxa" w:w="1814"/>
            <w:vAlign w:val="center"/>
          </w:tcPr>
          <w:p>
            <w:pPr>
              <w:jc w:val="center"/>
            </w:pPr>
            <w:r>
              <w:rPr>
                <w:b/>
                <w:sz w:val="19"/>
              </w:rPr>
              <w:t>query_id</w:t>
            </w:r>
          </w:p>
        </w:tc>
        <w:tc>
          <w:tcPr>
            <w:tcW w:type="dxa" w:w="4082"/>
            <w:vAlign w:val="center"/>
          </w:tcPr>
          <w:p>
            <w:pPr>
              <w:jc w:val="center"/>
            </w:pPr>
            <w:r>
              <w:rPr>
                <w:b/>
                <w:sz w:val="19"/>
              </w:rPr>
              <w:t>query</w:t>
            </w:r>
          </w:p>
        </w:tc>
        <w:tc>
          <w:tcPr>
            <w:tcW w:type="dxa" w:w="850"/>
            <w:vAlign w:val="center"/>
          </w:tcPr>
          <w:p>
            <w:pPr>
              <w:jc w:val="center"/>
            </w:pPr>
            <w:r>
              <w:rPr>
                <w:b/>
                <w:sz w:val="19"/>
              </w:rPr>
              <w:t>answer</w:t>
            </w:r>
          </w:p>
        </w:tc>
        <w:tc>
          <w:tcPr>
            <w:tcW w:type="dxa" w:w="2268"/>
            <w:vAlign w:val="center"/>
          </w:tcPr>
          <w:p>
            <w:pPr>
              <w:jc w:val="center"/>
            </w:pPr>
            <w:r>
              <w:rPr>
                <w:b/>
                <w:sz w:val="19"/>
              </w:rPr>
              <w:t>evidence_pages</w:t>
            </w:r>
          </w:p>
        </w:tc>
        <w:tc>
          <w:tcPr>
            <w:tcW w:type="dxa" w:w="2835"/>
            <w:vAlign w:val="center"/>
          </w:tcPr>
          <w:p>
            <w:pPr>
              <w:jc w:val="center"/>
            </w:pPr>
            <w:r>
              <w:rPr>
                <w:b/>
                <w:sz w:val="19"/>
              </w:rPr>
              <w:t>derivation</w:t>
            </w:r>
          </w:p>
        </w:tc>
      </w:tr>
      <w:tr>
        <w:tc>
          <w:tcPr>
            <w:tcW w:type="dxa" w:w="1814"/>
            <w:vAlign w:val="center"/>
          </w:tcPr>
          <w:p>
            <w:pPr>
              <w:jc w:val="center"/>
            </w:pPr>
            <w:r>
              <w:rPr>
                <w:sz w:val="18"/>
              </w:rPr>
              <w:t>finance_01_aster_q1</w:t>
            </w:r>
          </w:p>
        </w:tc>
        <w:tc>
          <w:tcPr>
            <w:tcW w:type="dxa" w:w="4082"/>
            <w:vAlign w:val="center"/>
          </w:tcPr>
          <w:p>
            <w:pPr>
              <w:jc w:val="left"/>
            </w:pPr>
            <w:r>
              <w:rPr>
                <w:sz w:val="18"/>
              </w:rPr>
              <w:t>How much did Aster Holdings' revenue increase from 2025 to 2026?</w:t>
            </w:r>
          </w:p>
        </w:tc>
        <w:tc>
          <w:tcPr>
            <w:tcW w:type="dxa" w:w="850"/>
            <w:vAlign w:val="center"/>
          </w:tcPr>
          <w:p>
            <w:pPr>
              <w:jc w:val="center"/>
            </w:pPr>
            <w:r>
              <w:rPr>
                <w:sz w:val="18"/>
              </w:rPr>
              <w:t>10</w:t>
            </w:r>
          </w:p>
        </w:tc>
        <w:tc>
          <w:tcPr>
            <w:tcW w:type="dxa" w:w="2268"/>
            <w:vAlign w:val="center"/>
          </w:tcPr>
          <w:p>
            <w:pPr>
              <w:jc w:val="center"/>
            </w:pPr>
            <w:r>
              <w:rPr>
                <w:sz w:val="18"/>
              </w:rPr>
              <w:t>finance_01_aster_p1, finance_01_aster_p2</w:t>
            </w:r>
          </w:p>
        </w:tc>
        <w:tc>
          <w:tcPr>
            <w:tcW w:type="dxa" w:w="2835"/>
            <w:vAlign w:val="center"/>
          </w:tcPr>
          <w:p>
            <w:pPr>
              <w:jc w:val="center"/>
            </w:pPr>
            <w:r>
              <w:rPr>
                <w:sz w:val="18"/>
              </w:rPr>
              <w:t>subtract page 1 revenue from page 2 revenue</w:t>
            </w:r>
          </w:p>
        </w:tc>
      </w:tr>
      <w:tr>
        <w:tc>
          <w:tcPr>
            <w:tcW w:type="dxa" w:w="1814"/>
            <w:vAlign w:val="center"/>
          </w:tcPr>
          <w:p>
            <w:pPr>
              <w:jc w:val="center"/>
            </w:pPr>
            <w:r>
              <w:rPr>
                <w:sz w:val="18"/>
              </w:rPr>
              <w:t>finance_01_aster_q2</w:t>
            </w:r>
          </w:p>
        </w:tc>
        <w:tc>
          <w:tcPr>
            <w:tcW w:type="dxa" w:w="4082"/>
            <w:vAlign w:val="center"/>
          </w:tcPr>
          <w:p>
            <w:pPr>
              <w:jc w:val="left"/>
            </w:pPr>
            <w:r>
              <w:rPr>
                <w:sz w:val="18"/>
              </w:rPr>
              <w:t>How much did Aster Holdings' operating profit change from 2025 to 2026?</w:t>
            </w:r>
          </w:p>
        </w:tc>
        <w:tc>
          <w:tcPr>
            <w:tcW w:type="dxa" w:w="850"/>
            <w:vAlign w:val="center"/>
          </w:tcPr>
          <w:p>
            <w:pPr>
              <w:jc w:val="center"/>
            </w:pPr>
            <w:r>
              <w:rPr>
                <w:sz w:val="18"/>
              </w:rPr>
              <w:t>4</w:t>
            </w:r>
          </w:p>
        </w:tc>
        <w:tc>
          <w:tcPr>
            <w:tcW w:type="dxa" w:w="2268"/>
            <w:vAlign w:val="center"/>
          </w:tcPr>
          <w:p>
            <w:pPr>
              <w:jc w:val="center"/>
            </w:pPr>
            <w:r>
              <w:rPr>
                <w:sz w:val="18"/>
              </w:rPr>
              <w:t>finance_01_aster_p1, finance_01_aster_p2</w:t>
            </w:r>
          </w:p>
        </w:tc>
        <w:tc>
          <w:tcPr>
            <w:tcW w:type="dxa" w:w="2835"/>
            <w:vAlign w:val="center"/>
          </w:tcPr>
          <w:p>
            <w:pPr>
              <w:jc w:val="center"/>
            </w:pPr>
            <w:r>
              <w:rPr>
                <w:sz w:val="18"/>
              </w:rPr>
              <w:t>compute revenue minus cost on pages 1 and 2, then compare</w:t>
            </w:r>
          </w:p>
        </w:tc>
      </w:tr>
      <w:tr>
        <w:tc>
          <w:tcPr>
            <w:tcW w:type="dxa" w:w="1814"/>
            <w:vAlign w:val="center"/>
          </w:tcPr>
          <w:p>
            <w:pPr>
              <w:jc w:val="center"/>
            </w:pPr>
            <w:r>
              <w:rPr>
                <w:sz w:val="18"/>
              </w:rPr>
              <w:t>finance_01_aster_q3</w:t>
            </w:r>
          </w:p>
        </w:tc>
        <w:tc>
          <w:tcPr>
            <w:tcW w:type="dxa" w:w="4082"/>
            <w:vAlign w:val="center"/>
          </w:tcPr>
          <w:p>
            <w:pPr>
              <w:jc w:val="left"/>
            </w:pPr>
            <w:r>
              <w:rPr>
                <w:sz w:val="18"/>
              </w:rPr>
              <w:t>How many employees did Aster Holdings add from 2025 to 2026?</w:t>
            </w:r>
          </w:p>
        </w:tc>
        <w:tc>
          <w:tcPr>
            <w:tcW w:type="dxa" w:w="850"/>
            <w:vAlign w:val="center"/>
          </w:tcPr>
          <w:p>
            <w:pPr>
              <w:jc w:val="center"/>
            </w:pPr>
            <w:r>
              <w:rPr>
                <w:sz w:val="18"/>
              </w:rPr>
              <w:t>21</w:t>
            </w:r>
          </w:p>
        </w:tc>
        <w:tc>
          <w:tcPr>
            <w:tcW w:type="dxa" w:w="2268"/>
            <w:vAlign w:val="center"/>
          </w:tcPr>
          <w:p>
            <w:pPr>
              <w:jc w:val="center"/>
            </w:pPr>
            <w:r>
              <w:rPr>
                <w:sz w:val="18"/>
              </w:rPr>
              <w:t>finance_01_aster_p1, finance_01_aster_p2</w:t>
            </w:r>
          </w:p>
        </w:tc>
        <w:tc>
          <w:tcPr>
            <w:tcW w:type="dxa" w:w="2835"/>
            <w:vAlign w:val="center"/>
          </w:tcPr>
          <w:p>
            <w:pPr>
              <w:jc w:val="center"/>
            </w:pPr>
            <w:r>
              <w:rPr>
                <w:sz w:val="18"/>
              </w:rPr>
              <w:t>subtract page 1 employee count from page 2 employee count</w:t>
            </w:r>
          </w:p>
        </w:tc>
      </w:tr>
      <w:tr>
        <w:tc>
          <w:tcPr>
            <w:tcW w:type="dxa" w:w="1814"/>
            <w:vAlign w:val="center"/>
          </w:tcPr>
          <w:p>
            <w:pPr>
              <w:jc w:val="center"/>
            </w:pPr>
            <w:r>
              <w:rPr>
                <w:sz w:val="18"/>
              </w:rPr>
              <w:t>finance_01_aster_q4</w:t>
            </w:r>
          </w:p>
        </w:tc>
        <w:tc>
          <w:tcPr>
            <w:tcW w:type="dxa" w:w="4082"/>
            <w:vAlign w:val="center"/>
          </w:tcPr>
          <w:p>
            <w:pPr>
              <w:jc w:val="left"/>
            </w:pPr>
            <w:r>
              <w:rPr>
                <w:sz w:val="18"/>
              </w:rPr>
              <w:t>What is the sum of Aster Holdings' 2026 operating profit and R&amp;D expenditure?</w:t>
            </w:r>
          </w:p>
        </w:tc>
        <w:tc>
          <w:tcPr>
            <w:tcW w:type="dxa" w:w="850"/>
            <w:vAlign w:val="center"/>
          </w:tcPr>
          <w:p>
            <w:pPr>
              <w:jc w:val="center"/>
            </w:pPr>
            <w:r>
              <w:rPr>
                <w:sz w:val="18"/>
              </w:rPr>
              <w:t>62</w:t>
            </w:r>
          </w:p>
        </w:tc>
        <w:tc>
          <w:tcPr>
            <w:tcW w:type="dxa" w:w="2268"/>
            <w:vAlign w:val="center"/>
          </w:tcPr>
          <w:p>
            <w:pPr>
              <w:jc w:val="center"/>
            </w:pPr>
            <w:r>
              <w:rPr>
                <w:sz w:val="18"/>
              </w:rPr>
              <w:t>finance_01_aster_p2, finance_01_aster_p3</w:t>
            </w:r>
          </w:p>
        </w:tc>
        <w:tc>
          <w:tcPr>
            <w:tcW w:type="dxa" w:w="2835"/>
            <w:vAlign w:val="center"/>
          </w:tcPr>
          <w:p>
            <w:pPr>
              <w:jc w:val="center"/>
            </w:pPr>
            <w:r>
              <w:rPr>
                <w:sz w:val="18"/>
              </w:rPr>
              <w:t>compute page 2 operating profit and add page 3 R&amp;D expenditure</w:t>
            </w:r>
          </w:p>
        </w:tc>
      </w:tr>
    </w:tbl>
    <w:p>
      <w:pPr>
        <w:spacing w:after="0"/>
      </w:pPr>
    </w:p>
    <w:p>
      <w:pPr>
        <w:pStyle w:val="Heading1"/>
        <w:keepNext/>
        <w:spacing w:before="280" w:after="160"/>
      </w:pPr>
      <w:r>
        <w:t>6 多页检索与联合问答结果</w:t>
      </w:r>
    </w:p>
    <w:tbl>
      <w:tblPr>
        <w:tblW w:type="auto" w:w="0"/>
        <w:jc w:val="center"/>
        <w:tblLayout w:type="fixed"/>
        <w:tblLook w:firstColumn="1" w:firstRow="1" w:lastColumn="0" w:lastRow="0" w:noHBand="0" w:noVBand="1" w:val="04A0"/>
        <w:tblBorders>
          <w:top w:val="single" w:sz="12" w:color="000000"/>
          <w:insideH w:val="single" w:sz="4" w:color="000000"/>
          <w:bottom w:val="single" w:sz="12" w:color="000000"/>
          <w:left w:val="nil"/>
          <w:right w:val="nil"/>
          <w:insideV w:val="nil"/>
        </w:tblBorders>
      </w:tblPr>
      <w:tblGrid>
        <w:gridCol w:w="3135"/>
        <w:gridCol w:w="3135"/>
        <w:gridCol w:w="3135"/>
      </w:tblGrid>
      <w:tr>
        <w:tc>
          <w:tcPr>
            <w:tcW w:type="dxa" w:w="2835"/>
            <w:vAlign w:val="center"/>
          </w:tcPr>
          <w:p>
            <w:pPr>
              <w:jc w:val="center"/>
            </w:pPr>
            <w:r>
              <w:rPr>
                <w:b/>
                <w:sz w:val="19"/>
              </w:rPr>
              <w:t>指标</w:t>
            </w:r>
          </w:p>
        </w:tc>
        <w:tc>
          <w:tcPr>
            <w:tcW w:type="dxa" w:w="1701"/>
            <w:vAlign w:val="center"/>
          </w:tcPr>
          <w:p>
            <w:pPr>
              <w:jc w:val="center"/>
            </w:pPr>
            <w:r>
              <w:rPr>
                <w:b/>
                <w:sz w:val="19"/>
              </w:rPr>
              <w:t>数值</w:t>
            </w:r>
          </w:p>
        </w:tc>
        <w:tc>
          <w:tcPr>
            <w:tcW w:type="dxa" w:w="5669"/>
            <w:vAlign w:val="center"/>
          </w:tcPr>
          <w:p>
            <w:pPr>
              <w:jc w:val="center"/>
            </w:pPr>
            <w:r>
              <w:rPr>
                <w:b/>
                <w:sz w:val="19"/>
              </w:rPr>
              <w:t>含义</w:t>
            </w:r>
          </w:p>
        </w:tc>
      </w:tr>
      <w:tr>
        <w:tc>
          <w:tcPr>
            <w:tcW w:type="dxa" w:w="2835"/>
            <w:vAlign w:val="center"/>
          </w:tcPr>
          <w:p>
            <w:pPr>
              <w:jc w:val="center"/>
            </w:pPr>
            <w:r>
              <w:rPr>
                <w:sz w:val="18"/>
              </w:rPr>
              <w:t>任意证据召回率</w:t>
            </w:r>
          </w:p>
        </w:tc>
        <w:tc>
          <w:tcPr>
            <w:tcW w:type="dxa" w:w="1701"/>
            <w:vAlign w:val="center"/>
          </w:tcPr>
          <w:p>
            <w:pPr>
              <w:jc w:val="left"/>
            </w:pPr>
            <w:r>
              <w:rPr>
                <w:sz w:val="18"/>
              </w:rPr>
              <w:t>1.0000</w:t>
            </w:r>
          </w:p>
        </w:tc>
        <w:tc>
          <w:tcPr>
            <w:tcW w:type="dxa" w:w="5669"/>
            <w:vAlign w:val="center"/>
          </w:tcPr>
          <w:p>
            <w:pPr>
              <w:jc w:val="center"/>
            </w:pPr>
            <w:r>
              <w:rPr>
                <w:sz w:val="18"/>
              </w:rPr>
              <w:t>Top-3至少包含一个必要证据页</w:t>
            </w:r>
          </w:p>
        </w:tc>
      </w:tr>
      <w:tr>
        <w:tc>
          <w:tcPr>
            <w:tcW w:type="dxa" w:w="2835"/>
            <w:vAlign w:val="center"/>
          </w:tcPr>
          <w:p>
            <w:pPr>
              <w:jc w:val="center"/>
            </w:pPr>
            <w:r>
              <w:rPr>
                <w:sz w:val="18"/>
              </w:rPr>
              <w:t>全部证据召回率</w:t>
            </w:r>
          </w:p>
        </w:tc>
        <w:tc>
          <w:tcPr>
            <w:tcW w:type="dxa" w:w="1701"/>
            <w:vAlign w:val="center"/>
          </w:tcPr>
          <w:p>
            <w:pPr>
              <w:jc w:val="left"/>
            </w:pPr>
            <w:r>
              <w:rPr>
                <w:sz w:val="18"/>
              </w:rPr>
              <w:t>0.9750</w:t>
            </w:r>
          </w:p>
        </w:tc>
        <w:tc>
          <w:tcPr>
            <w:tcW w:type="dxa" w:w="5669"/>
            <w:vAlign w:val="center"/>
          </w:tcPr>
          <w:p>
            <w:pPr>
              <w:jc w:val="center"/>
            </w:pPr>
            <w:r>
              <w:rPr>
                <w:sz w:val="18"/>
              </w:rPr>
              <w:t>Top-3同时包含全部必要证据页</w:t>
            </w:r>
          </w:p>
        </w:tc>
      </w:tr>
      <w:tr>
        <w:tc>
          <w:tcPr>
            <w:tcW w:type="dxa" w:w="2835"/>
            <w:vAlign w:val="center"/>
          </w:tcPr>
          <w:p>
            <w:pPr>
              <w:jc w:val="center"/>
            </w:pPr>
            <w:r>
              <w:rPr>
                <w:sz w:val="18"/>
              </w:rPr>
              <w:t>平均证据覆盖率</w:t>
            </w:r>
          </w:p>
        </w:tc>
        <w:tc>
          <w:tcPr>
            <w:tcW w:type="dxa" w:w="1701"/>
            <w:vAlign w:val="center"/>
          </w:tcPr>
          <w:p>
            <w:pPr>
              <w:jc w:val="left"/>
            </w:pPr>
            <w:r>
              <w:rPr>
                <w:sz w:val="18"/>
              </w:rPr>
              <w:t>0.9875</w:t>
            </w:r>
          </w:p>
        </w:tc>
        <w:tc>
          <w:tcPr>
            <w:tcW w:type="dxa" w:w="5669"/>
            <w:vAlign w:val="center"/>
          </w:tcPr>
          <w:p>
            <w:pPr>
              <w:jc w:val="center"/>
            </w:pPr>
            <w:r>
              <w:rPr>
                <w:sz w:val="18"/>
              </w:rPr>
              <w:t>必要证据页被召回的平均比例</w:t>
            </w:r>
          </w:p>
        </w:tc>
      </w:tr>
      <w:tr>
        <w:tc>
          <w:tcPr>
            <w:tcW w:type="dxa" w:w="2835"/>
            <w:vAlign w:val="center"/>
          </w:tcPr>
          <w:p>
            <w:pPr>
              <w:jc w:val="center"/>
            </w:pPr>
            <w:r>
              <w:rPr>
                <w:sz w:val="18"/>
              </w:rPr>
              <w:t>宽松问答准确率</w:t>
            </w:r>
          </w:p>
        </w:tc>
        <w:tc>
          <w:tcPr>
            <w:tcW w:type="dxa" w:w="1701"/>
            <w:vAlign w:val="center"/>
          </w:tcPr>
          <w:p>
            <w:pPr>
              <w:jc w:val="left"/>
            </w:pPr>
            <w:r>
              <w:rPr>
                <w:sz w:val="18"/>
              </w:rPr>
              <w:t>0.0000</w:t>
            </w:r>
          </w:p>
        </w:tc>
        <w:tc>
          <w:tcPr>
            <w:tcW w:type="dxa" w:w="5669"/>
            <w:vAlign w:val="center"/>
          </w:tcPr>
          <w:p>
            <w:pPr>
              <w:jc w:val="center"/>
            </w:pPr>
            <w:r>
              <w:rPr>
                <w:sz w:val="18"/>
              </w:rPr>
              <w:t>SmolVLM多图联合回答的数值正确率</w:t>
            </w:r>
          </w:p>
        </w:tc>
      </w:tr>
      <w:tr>
        <w:tc>
          <w:tcPr>
            <w:tcW w:type="dxa" w:w="2835"/>
            <w:vAlign w:val="center"/>
          </w:tcPr>
          <w:p>
            <w:pPr>
              <w:jc w:val="center"/>
            </w:pPr>
            <w:r>
              <w:rPr>
                <w:sz w:val="18"/>
              </w:rPr>
              <w:t>平均生成耗时</w:t>
            </w:r>
          </w:p>
        </w:tc>
        <w:tc>
          <w:tcPr>
            <w:tcW w:type="dxa" w:w="1701"/>
            <w:vAlign w:val="center"/>
          </w:tcPr>
          <w:p>
            <w:pPr>
              <w:jc w:val="left"/>
            </w:pPr>
            <w:r>
              <w:rPr>
                <w:sz w:val="18"/>
              </w:rPr>
              <w:t>4297.9 ms</w:t>
            </w:r>
          </w:p>
        </w:tc>
        <w:tc>
          <w:tcPr>
            <w:tcW w:type="dxa" w:w="5669"/>
            <w:vAlign w:val="center"/>
          </w:tcPr>
          <w:p>
            <w:pPr>
              <w:jc w:val="center"/>
            </w:pPr>
            <w:r>
              <w:rPr>
                <w:sz w:val="18"/>
              </w:rPr>
              <w:t>RTX 4070上每条多页问题平均耗时</w:t>
            </w:r>
          </w:p>
        </w:tc>
      </w:tr>
    </w:tbl>
    <w:p>
      <w:pPr>
        <w:spacing w:after="0"/>
      </w:pPr>
    </w:p>
    <w:p>
      <w:pPr>
        <w:jc w:val="both"/>
      </w:pPr>
      <w:r>
        <w:t>ColSmol在受控数据上可以较稳定地定位跨页证据：40题全部命中至少一个证据页，39题在Top-3中同时找齐两个必要证据页。但SmolVLM-500M的40题宽松准确率为0。逐条输出显示，它经常直接抄写2025年或2026年的单页值，而没有执行减法；有时把员工总数当成员工增量；也会输出算式但使用错误操作数。即便仅统计39条已找齐全部证据的样本，准确率仍为0，因而失败主要发生在跨页对齐与计算阶段，而不是页面检索阶段。</w:t>
      </w:r>
    </w:p>
    <w:tbl>
      <w:tblPr>
        <w:tblW w:type="auto" w:w="0"/>
        <w:jc w:val="center"/>
        <w:tblLayout w:type="fixed"/>
        <w:tblLook w:firstColumn="1" w:firstRow="1" w:lastColumn="0" w:lastRow="0" w:noHBand="0" w:noVBand="1" w:val="04A0"/>
        <w:tblBorders>
          <w:top w:val="single" w:sz="12" w:color="000000"/>
          <w:insideH w:val="single" w:sz="4" w:color="000000"/>
          <w:bottom w:val="single" w:sz="12" w:color="000000"/>
          <w:left w:val="nil"/>
          <w:right w:val="nil"/>
          <w:insideV w:val="nil"/>
        </w:tblBorders>
      </w:tblPr>
      <w:tblGrid>
        <w:gridCol w:w="1881"/>
        <w:gridCol w:w="1881"/>
        <w:gridCol w:w="1881"/>
        <w:gridCol w:w="1881"/>
        <w:gridCol w:w="1881"/>
      </w:tblGrid>
      <w:tr>
        <w:tc>
          <w:tcPr>
            <w:tcW w:type="dxa" w:w="2268"/>
            <w:vAlign w:val="center"/>
          </w:tcPr>
          <w:p>
            <w:pPr>
              <w:jc w:val="center"/>
            </w:pPr>
            <w:r>
              <w:rPr>
                <w:b/>
                <w:sz w:val="19"/>
              </w:rPr>
              <w:t>问题类型</w:t>
            </w:r>
          </w:p>
        </w:tc>
        <w:tc>
          <w:tcPr>
            <w:tcW w:type="dxa" w:w="1134"/>
            <w:vAlign w:val="center"/>
          </w:tcPr>
          <w:p>
            <w:pPr>
              <w:jc w:val="center"/>
            </w:pPr>
            <w:r>
              <w:rPr>
                <w:b/>
                <w:sz w:val="19"/>
              </w:rPr>
              <w:t>数量</w:t>
            </w:r>
          </w:p>
        </w:tc>
        <w:tc>
          <w:tcPr>
            <w:tcW w:type="dxa" w:w="1134"/>
            <w:vAlign w:val="center"/>
          </w:tcPr>
          <w:p>
            <w:pPr>
              <w:jc w:val="center"/>
            </w:pPr>
            <w:r>
              <w:rPr>
                <w:b/>
                <w:sz w:val="19"/>
              </w:rPr>
              <w:t>正确数</w:t>
            </w:r>
          </w:p>
        </w:tc>
        <w:tc>
          <w:tcPr>
            <w:tcW w:type="dxa" w:w="1134"/>
            <w:vAlign w:val="center"/>
          </w:tcPr>
          <w:p>
            <w:pPr>
              <w:jc w:val="center"/>
            </w:pPr>
            <w:r>
              <w:rPr>
                <w:b/>
                <w:sz w:val="19"/>
              </w:rPr>
              <w:t>准确率</w:t>
            </w:r>
          </w:p>
        </w:tc>
        <w:tc>
          <w:tcPr>
            <w:tcW w:type="dxa" w:w="4535"/>
            <w:vAlign w:val="center"/>
          </w:tcPr>
          <w:p>
            <w:pPr>
              <w:jc w:val="center"/>
            </w:pPr>
            <w:r>
              <w:rPr>
                <w:b/>
                <w:sz w:val="19"/>
              </w:rPr>
              <w:t>典型错误</w:t>
            </w:r>
          </w:p>
        </w:tc>
      </w:tr>
      <w:tr>
        <w:tc>
          <w:tcPr>
            <w:tcW w:type="dxa" w:w="2268"/>
            <w:vAlign w:val="center"/>
          </w:tcPr>
          <w:p>
            <w:pPr>
              <w:jc w:val="center"/>
            </w:pPr>
            <w:r>
              <w:rPr>
                <w:sz w:val="18"/>
              </w:rPr>
              <w:t>收入增量</w:t>
            </w:r>
          </w:p>
        </w:tc>
        <w:tc>
          <w:tcPr>
            <w:tcW w:type="dxa" w:w="1134"/>
            <w:vAlign w:val="center"/>
          </w:tcPr>
          <w:p>
            <w:pPr>
              <w:jc w:val="left"/>
            </w:pPr>
            <w:r>
              <w:rPr>
                <w:sz w:val="18"/>
              </w:rPr>
              <w:t>10</w:t>
            </w:r>
          </w:p>
        </w:tc>
        <w:tc>
          <w:tcPr>
            <w:tcW w:type="dxa" w:w="1134"/>
            <w:vAlign w:val="center"/>
          </w:tcPr>
          <w:p>
            <w:pPr>
              <w:jc w:val="center"/>
            </w:pPr>
            <w:r>
              <w:rPr>
                <w:sz w:val="18"/>
              </w:rPr>
              <w:t>0</w:t>
            </w:r>
          </w:p>
        </w:tc>
        <w:tc>
          <w:tcPr>
            <w:tcW w:type="dxa" w:w="1134"/>
            <w:vAlign w:val="center"/>
          </w:tcPr>
          <w:p>
            <w:pPr>
              <w:jc w:val="center"/>
            </w:pPr>
            <w:r>
              <w:rPr>
                <w:sz w:val="18"/>
              </w:rPr>
              <w:t>0.0%</w:t>
            </w:r>
          </w:p>
        </w:tc>
        <w:tc>
          <w:tcPr>
            <w:tcW w:type="dxa" w:w="4535"/>
            <w:vAlign w:val="center"/>
          </w:tcPr>
          <w:p>
            <w:pPr>
              <w:jc w:val="center"/>
            </w:pPr>
            <w:r>
              <w:rPr>
                <w:sz w:val="18"/>
              </w:rPr>
              <w:t>抄写单年收入，未执行跨页减法</w:t>
            </w:r>
          </w:p>
        </w:tc>
      </w:tr>
      <w:tr>
        <w:tc>
          <w:tcPr>
            <w:tcW w:type="dxa" w:w="2268"/>
            <w:vAlign w:val="center"/>
          </w:tcPr>
          <w:p>
            <w:pPr>
              <w:jc w:val="center"/>
            </w:pPr>
            <w:r>
              <w:rPr>
                <w:sz w:val="18"/>
              </w:rPr>
              <w:t>经营利润变化</w:t>
            </w:r>
          </w:p>
        </w:tc>
        <w:tc>
          <w:tcPr>
            <w:tcW w:type="dxa" w:w="1134"/>
            <w:vAlign w:val="center"/>
          </w:tcPr>
          <w:p>
            <w:pPr>
              <w:jc w:val="left"/>
            </w:pPr>
            <w:r>
              <w:rPr>
                <w:sz w:val="18"/>
              </w:rPr>
              <w:t>10</w:t>
            </w:r>
          </w:p>
        </w:tc>
        <w:tc>
          <w:tcPr>
            <w:tcW w:type="dxa" w:w="1134"/>
            <w:vAlign w:val="center"/>
          </w:tcPr>
          <w:p>
            <w:pPr>
              <w:jc w:val="center"/>
            </w:pPr>
            <w:r>
              <w:rPr>
                <w:sz w:val="18"/>
              </w:rPr>
              <w:t>0</w:t>
            </w:r>
          </w:p>
        </w:tc>
        <w:tc>
          <w:tcPr>
            <w:tcW w:type="dxa" w:w="1134"/>
            <w:vAlign w:val="center"/>
          </w:tcPr>
          <w:p>
            <w:pPr>
              <w:jc w:val="center"/>
            </w:pPr>
            <w:r>
              <w:rPr>
                <w:sz w:val="18"/>
              </w:rPr>
              <w:t>0.0%</w:t>
            </w:r>
          </w:p>
        </w:tc>
        <w:tc>
          <w:tcPr>
            <w:tcW w:type="dxa" w:w="4535"/>
            <w:vAlign w:val="center"/>
          </w:tcPr>
          <w:p>
            <w:pPr>
              <w:jc w:val="center"/>
            </w:pPr>
            <w:r>
              <w:rPr>
                <w:sz w:val="18"/>
              </w:rPr>
              <w:t>未分别计算两年利润或错误相减</w:t>
            </w:r>
          </w:p>
        </w:tc>
      </w:tr>
      <w:tr>
        <w:tc>
          <w:tcPr>
            <w:tcW w:type="dxa" w:w="2268"/>
            <w:vAlign w:val="center"/>
          </w:tcPr>
          <w:p>
            <w:pPr>
              <w:jc w:val="center"/>
            </w:pPr>
            <w:r>
              <w:rPr>
                <w:sz w:val="18"/>
              </w:rPr>
              <w:t>员工增量</w:t>
            </w:r>
          </w:p>
        </w:tc>
        <w:tc>
          <w:tcPr>
            <w:tcW w:type="dxa" w:w="1134"/>
            <w:vAlign w:val="center"/>
          </w:tcPr>
          <w:p>
            <w:pPr>
              <w:jc w:val="left"/>
            </w:pPr>
            <w:r>
              <w:rPr>
                <w:sz w:val="18"/>
              </w:rPr>
              <w:t>10</w:t>
            </w:r>
          </w:p>
        </w:tc>
        <w:tc>
          <w:tcPr>
            <w:tcW w:type="dxa" w:w="1134"/>
            <w:vAlign w:val="center"/>
          </w:tcPr>
          <w:p>
            <w:pPr>
              <w:jc w:val="center"/>
            </w:pPr>
            <w:r>
              <w:rPr>
                <w:sz w:val="18"/>
              </w:rPr>
              <w:t>0</w:t>
            </w:r>
          </w:p>
        </w:tc>
        <w:tc>
          <w:tcPr>
            <w:tcW w:type="dxa" w:w="1134"/>
            <w:vAlign w:val="center"/>
          </w:tcPr>
          <w:p>
            <w:pPr>
              <w:jc w:val="center"/>
            </w:pPr>
            <w:r>
              <w:rPr>
                <w:sz w:val="18"/>
              </w:rPr>
              <w:t>0.0%</w:t>
            </w:r>
          </w:p>
        </w:tc>
        <w:tc>
          <w:tcPr>
            <w:tcW w:type="dxa" w:w="4535"/>
            <w:vAlign w:val="center"/>
          </w:tcPr>
          <w:p>
            <w:pPr>
              <w:jc w:val="center"/>
            </w:pPr>
            <w:r>
              <w:rPr>
                <w:sz w:val="18"/>
              </w:rPr>
              <w:t>输出员工总数而非年度增量</w:t>
            </w:r>
          </w:p>
        </w:tc>
      </w:tr>
      <w:tr>
        <w:tc>
          <w:tcPr>
            <w:tcW w:type="dxa" w:w="2268"/>
            <w:vAlign w:val="center"/>
          </w:tcPr>
          <w:p>
            <w:pPr>
              <w:jc w:val="center"/>
            </w:pPr>
            <w:r>
              <w:rPr>
                <w:sz w:val="18"/>
              </w:rPr>
              <w:t>利润与研发求和</w:t>
            </w:r>
          </w:p>
        </w:tc>
        <w:tc>
          <w:tcPr>
            <w:tcW w:type="dxa" w:w="1134"/>
            <w:vAlign w:val="center"/>
          </w:tcPr>
          <w:p>
            <w:pPr>
              <w:jc w:val="left"/>
            </w:pPr>
            <w:r>
              <w:rPr>
                <w:sz w:val="18"/>
              </w:rPr>
              <w:t>10</w:t>
            </w:r>
          </w:p>
        </w:tc>
        <w:tc>
          <w:tcPr>
            <w:tcW w:type="dxa" w:w="1134"/>
            <w:vAlign w:val="center"/>
          </w:tcPr>
          <w:p>
            <w:pPr>
              <w:jc w:val="center"/>
            </w:pPr>
            <w:r>
              <w:rPr>
                <w:sz w:val="18"/>
              </w:rPr>
              <w:t>0</w:t>
            </w:r>
          </w:p>
        </w:tc>
        <w:tc>
          <w:tcPr>
            <w:tcW w:type="dxa" w:w="1134"/>
            <w:vAlign w:val="center"/>
          </w:tcPr>
          <w:p>
            <w:pPr>
              <w:jc w:val="center"/>
            </w:pPr>
            <w:r>
              <w:rPr>
                <w:sz w:val="18"/>
              </w:rPr>
              <w:t>0.0%</w:t>
            </w:r>
          </w:p>
        </w:tc>
        <w:tc>
          <w:tcPr>
            <w:tcW w:type="dxa" w:w="4535"/>
            <w:vAlign w:val="center"/>
          </w:tcPr>
          <w:p>
            <w:pPr>
              <w:jc w:val="center"/>
            </w:pPr>
            <w:r>
              <w:rPr>
                <w:sz w:val="18"/>
              </w:rPr>
              <w:t>混淆收入、利润和研发支出</w:t>
            </w:r>
          </w:p>
        </w:tc>
      </w:tr>
    </w:tbl>
    <w:p>
      <w:pPr>
        <w:spacing w:after="0"/>
      </w:pPr>
    </w:p>
    <w:p>
      <w:pPr>
        <w:pStyle w:val="Heading1"/>
        <w:keepNext/>
        <w:spacing w:before="280" w:after="160"/>
      </w:pPr>
      <w:r>
        <w:t>7 本阶段完成的工程工作</w:t>
      </w:r>
    </w:p>
    <w:p>
      <w:pPr>
        <w:jc w:val="both"/>
      </w:pPr>
      <w:r>
        <w:t>本阶段新增可重复生成的连续多页数据构建脚本，形成 pages.jsonl、samples.jsonl、manifest.json 和可读标注文件；新增真正面向多证据问题的评测脚本，将任意证据命中、全部证据命中和证据覆盖率分开统计，并支持逐条落盘和断点续跑；新增实验汇总脚本，可从原始JSON自动生成五种检索基线、四种问答方案和失败案例分析。所有多页页面、Query、答案、证据页及推导规则均可追溯。</w:t>
      </w:r>
    </w:p>
    <w:p>
      <w:pPr>
        <w:pStyle w:val="Heading1"/>
        <w:keepNext/>
        <w:spacing w:before="280" w:after="160"/>
      </w:pPr>
      <w:r>
        <w:t>8 阶段结论</w:t>
      </w:r>
    </w:p>
    <w:p>
      <w:pPr>
        <w:jc w:val="both"/>
      </w:pPr>
      <w:r>
        <w:t>本阶段完成了从单页实验总结到连续多页验证的实质性推进。单页结果确认ColSmol是当前最强检索方案，InfoNCE微调对SigLIP有稳定增益，但简单加入难负例未带来进一步提升。多页结果进一步说明，‘Top-K候选页问答’与‘真正跨页联合推理’不能混为一谈：前者只要求候选中存在答案页，后者要求同时找齐多个证据页并正确完成数值对齐与运算。当前系统在受控验证集上已基本跨过多证据检索门槛，但SmolVLM-500M未跨过联合推理门槛。因此现阶段可以宣称完成页面级视觉RAG原型和多证据检索验证，不能宣称已经解决真实多页财务问答。</w:t>
      </w:r>
    </w:p>
    <w:sectPr w:rsidR="00FC693F" w:rsidRPr="0006063C" w:rsidSect="00034616">
      <w:footerReference w:type="default" r:id="rId12"/>
      <w:pgSz w:w="12240" w:h="15840"/>
      <w:pgMar w:top="1417" w:right="1361"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40"/>
    </w:pPr>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微软雅黑"/>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KaiTi" w:hAnsi="KaiTi" w:eastAsia="楷体"/>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