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sz w:val="21"/>
        </w:rPr>
        <w:t>EquipMind A1 软件功能设计文档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1. 设计目标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系统需要在四核、8 GB 内存的 LoongArch 服务器上运行，因此设计时优先考虑资源占用、离线可用性和模块可替换性。主要功能包括文本检索、图文联合诊断、SOP、记录检查、工单、人工反馈和知识维护。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2. 总体架构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浏览器</w:t>
        <w:br/>
        <w:t xml:space="preserve">  │</w:t>
        <w:br/>
        <w:t>Streamlit Web 层</w:t>
        <w:br/>
        <w:t xml:space="preserve">  ├─ 检修问答 / 多轮对话</w:t>
        <w:br/>
        <w:t xml:space="preserve">  ├─ 图文联合诊断</w:t>
        <w:br/>
        <w:t xml:space="preserve">  ├─ SOP / 记录检查 / 工单</w:t>
        <w:br/>
        <w:t xml:space="preserve">  ├─ 案例审核 / 人工反馈</w:t>
        <w:br/>
        <w:t xml:space="preserve">  └─ 图谱统计 / 大模型配置 / 知识库管理</w:t>
        <w:br/>
        <w:t xml:space="preserve">  │</w:t>
        <w:br/>
        <w:t>业务模块</w:t>
        <w:br/>
        <w:t xml:space="preserve">  ├─ KnowledgeRetriever    文本检索</w:t>
        <w:br/>
        <w:t xml:space="preserve">  ├─ LLM Adapter          大模型适配</w:t>
        <w:br/>
        <w:t xml:space="preserve">  ├─ Image Search         图片与文本融合</w:t>
        <w:br/>
        <w:t xml:space="preserve">  ├─ Diagnostic Rules     风险判断</w:t>
        <w:br/>
        <w:t xml:space="preserve">  ├─ Workflow Engine      SOP 与检查规则</w:t>
        <w:br/>
        <w:t xml:space="preserve">  ├─ Feedback Service     反馈记录和转案例</w:t>
        <w:br/>
        <w:t xml:space="preserve">  └─ Work Order Generator 工单生成</w:t>
        <w:br/>
        <w:t xml:space="preserve">  │</w:t>
        <w:br/>
        <w:t>数据与存储</w:t>
        <w:br/>
        <w:t xml:space="preserve">  ├─ manuals / approved cases / pending cases</w:t>
        <w:br/>
        <w:t xml:space="preserve">  ├─ workflows / images / equipment registry</w:t>
        <w:br/>
        <w:t xml:space="preserve">  ├─ knowledge graph / evaluation set</w:t>
        <w:br/>
        <w:t xml:space="preserve">  └─ knowledge_index.pkl / feedback.jsonl / work orders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3. 技术选型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技术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采用原因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Web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Streamlit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>
              <w:t>采用 Python 原生开发，便于在目标环境中部署和维护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</w:r>
          </w:p>
        </w:tc>
      </w:tr>
      <w:tr>
        <w:tc>
          <w:tcPr>
            <w:tcW w:type="dxa" w:w="32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数据处理</w:t>
            </w:r>
          </w:p>
        </w:tc>
        <w:tc>
          <w:tcPr>
            <w:tcW w:type="dxa" w:w="32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Python / pandas</w:t>
            </w:r>
          </w:p>
        </w:tc>
        <w:tc>
          <w:tcPr>
            <w:tcW w:type="dxa" w:w="32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依赖成熟，便于处理 JSON、表格和统计数据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文本检索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scikit-learn TF-IDF + 轻量 BM25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无需 GPU，资源占用较低，分数可解释</w:t>
            </w:r>
          </w:p>
        </w:tc>
      </w:tr>
      <w:tr>
        <w:tc>
          <w:tcPr>
            <w:tcW w:type="dxa" w:w="32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图片检索</w:t>
            </w:r>
          </w:p>
        </w:tc>
        <w:tc>
          <w:tcPr>
            <w:tcW w:type="dxa" w:w="32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Pillow + 感知哈希 + 文本 TF-IDF</w:t>
            </w:r>
          </w:p>
        </w:tc>
        <w:tc>
          <w:tcPr>
            <w:tcW w:type="dxa" w:w="32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适合小规模图片案例，部署依赖少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大模型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OpenAI-compatible API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可兼容云端服务和本地推理服务</w:t>
            </w:r>
          </w:p>
        </w:tc>
      </w:tr>
      <w:tr>
        <w:tc>
          <w:tcPr>
            <w:tcW w:type="dxa" w:w="32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图谱</w:t>
            </w:r>
          </w:p>
        </w:tc>
        <w:tc>
          <w:tcPr>
            <w:tcW w:type="dxa" w:w="32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JSON + Graphviz</w:t>
            </w:r>
          </w:p>
        </w:tc>
        <w:tc>
          <w:tcPr>
            <w:tcW w:type="dxa" w:w="32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数据结构简单，便于展示和迁移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文件格式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Markdown / JSON / JSONL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可人工查看，便于版本管理和打包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4. 模块设计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4.1 文本检索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索引由设备手册、已审核案例、SOP 和图谱链路组成。每个片段保存编号、标题、来源、设备、正文、标签、资料类型和更新时间。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检索步骤如下：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1. 对问题进行空白和大小写归一化。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2. 扩展领域同义词，例如“OC”对应“过流”，“油分”对应“油气分离器”。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3. 使用两组字符 TF-IDF 计算文本相似度。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4. 使用轻量 BM25 计算词法相关度，重点处理型号、报警代码、单位和领域词。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5. 提取设备、型号、报警代码、关键术语和问题意图。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6. 综合语义分、BM25、关键词覆盖、标题覆盖、设备匹配和型号匹配。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7. 对候选结果进行来源去重和资料类型平衡。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8. 返回总分、分项得分、命中术语和置信度。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索引缓存同时记录版本号和数据指纹。数据变化后，系统会重新构建索引。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4.2 证据充分度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证据充分度用于判断当前召回资料是否足以支持建议，计算因素包括：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首条结果相关度；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问题关键术语覆盖率；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Top-5 中的资料类型数量；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独立来源数量；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首条与次条的分差。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系统输出 0—100 分和“充足、一般、不足”三个等级。若资料不足，页面提示用户补充型号、报警代码、测量值或发生工况。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4.3 大模型适配</w:t>
      </w:r>
    </w:p>
    <w:p>
      <w:pPr>
        <w:ind w:firstLine="420"/>
      </w:pPr>
      <w:r>
        <w:rPr>
          <w:rFonts w:ascii="DejaVu Sans Mono" w:hAnsi="DejaVu Sans Mono" w:eastAsia="Noto Sans CJK SC"/>
          <w:color w:val="1F4E79"/>
          <w:sz w:val="19"/>
        </w:rPr>
        <w:t>core/llm.py</w:t>
      </w:r>
      <w:r>
        <w:rPr>
          <w:rFonts w:ascii="Noto Sans CJK SC" w:hAnsi="Noto Sans CJK SC" w:eastAsia="Noto Sans CJK SC"/>
          <w:sz w:val="21"/>
        </w:rPr>
        <w:t xml:space="preserve"> 封装 OpenAI-compatible 的对话接口。配置项包括服务地址、模型名称、密钥、超时和视觉模型开关。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文本问答过程：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1. 调用本地检索；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2. 将召回资料按编号整理为上下文；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3. 写入证据充分度和缺失信息；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4. 要求模型输出初步判断、排查步骤、安全注意、待补充信息和引用编号；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5. 接口异常时返回本地摘要。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提示词明确要求模型不能编造设备参数、标准编号和现场测量值。视觉模型只用于图片初步描述，不单独形成故障结论。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4.4 图文联合检索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图片特征包括：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Average Hash：描述整体明暗结构；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Difference Hash：描述局部梯度和边缘变化；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RGB 压缩直方图：描述颜色分布。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文本特征由设备名称、故障名称、案例说明和处理建议组成。用户提供设备类型或故障描述后，系统将图片分、文本分和设备匹配分进行融合。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Top-1 图片案例会转换为新的文本查询，继续检索手册、案例、SOP 和图谱，形成后续建议和引用资料。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4.5 风险判断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风险等级只根据用户填写的现场现象计算，避免因手册中出现“高温、泄漏、断电”等词而误判。规则将信号分为紧急、高风险和一般异常，输出 P1、P2 或 P3，并附处理提示。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4.6 SOP 与记录检查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每个工作流使用 JSON 保存设备、等级、适用条件、工具、防护用品、步骤、风险和检查规则。记录检查通过关键词匹配判断现场记录是否包含关键动作，并显示每项状态和完成率。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4.7 工单生成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工单包括：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工单编号、设备、型号和故障描述；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风险等级和证据充分度；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人工复核声明；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LOTO、验电、泄压和监护检查表；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SOP、工具、防护用品和复测标准；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引用资料、签字栏和实际处理记录。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4.8 人工反馈与案例审核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反馈以 JSONL 保存，字段包括编号、时间、问题、原回答、评价、修正内容、标注人、设备、来源页面和引用资料。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处理顺序为：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用户评价或修正</w:t>
        <w:br/>
        <w:t>→ 保存反馈记录</w:t>
        <w:br/>
        <w:t>→ 转为待审核案例</w:t>
        <w:br/>
        <w:t>→ 设备工程师审核</w:t>
        <w:br/>
        <w:t>→ 写入 approved 目录</w:t>
        <w:br/>
        <w:t>→ 重建检索索引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反馈记录不会直接写入正式索引。</w:t>
      </w:r>
    </w:p>
    <w:p>
      <w:pPr>
        <w:pStyle w:val="Heading2"/>
      </w:pPr>
      <w:r>
        <w:rPr>
          <w:rFonts w:ascii="Noto Sans CJK SC" w:hAnsi="Noto Sans CJK SC" w:eastAsia="Noto Sans CJK SC"/>
          <w:sz w:val="21"/>
        </w:rPr>
        <w:t>4.9 知识图谱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图谱节点包括设备、部件、故障、原因、参数、动作和安全措施。关系以 JSON 保存，并通过 Graphviz 展示。部分关系链会转换为可检索文本，使图谱信息能够参与检索排序。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5. 目录设计</w:t>
      </w:r>
    </w:p>
    <w:p>
      <w:pPr>
        <w:spacing w:before="60" w:after="100"/>
        <w:ind w:left="283" w:right="170"/>
        <w:shd w:fill="F2F4F7"/>
      </w:pPr>
      <w:r>
        <w:rPr>
          <w:rFonts w:ascii="DejaVu Sans Mono" w:hAnsi="DejaVu Sans Mono" w:eastAsia="Noto Sans Mono CJK SC"/>
          <w:sz w:val="17"/>
        </w:rPr>
        <w:t>data/</w:t>
        <w:br/>
        <w:t xml:space="preserve">  manuals/                 设备手册</w:t>
        <w:br/>
        <w:t xml:space="preserve">  cases/pending/           待审核案例</w:t>
        <w:br/>
        <w:t xml:space="preserve">  cases/approved/          已审核案例</w:t>
        <w:br/>
        <w:t xml:space="preserve">  workflows/               SOP 数据</w:t>
        <w:br/>
        <w:t xml:space="preserve">  images/                  图片案例</w:t>
        <w:br/>
        <w:t xml:space="preserve">  assets/                  设备台账与图谱关系</w:t>
        <w:br/>
        <w:t xml:space="preserve">  evaluation/              检索评测集</w:t>
        <w:br/>
        <w:t>storage/</w:t>
        <w:br/>
        <w:t xml:space="preserve">  knowledge_index.pkl      本地索引</w:t>
        <w:br/>
        <w:t xml:space="preserve">  model_feedback.jsonl     人工反馈</w:t>
        <w:br/>
        <w:t xml:space="preserve">  work_order_*.md          检修工单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6. 安全设计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1. 手册上传只允许 md、txt、pdf；图片只允许 png、jpg、jpeg。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2. 清理 Windows 和 POSIX 路径分隔符，防止路径穿越。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3. 限制文件大小，重名文件增加时间戳。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4. 默认发布包排除 .env、缓存、编译产物和版本库目录。</w:t>
      </w:r>
      <w:r>
        <w:rPr>
          <w:rFonts w:ascii="DejaVu Sans Mono" w:hAnsi="DejaVu Sans Mono" w:eastAsia="Noto Sans CJK SC"/>
          <w:color w:val="1F4E79"/>
          <w:sz w:val="19"/>
        </w:rPr>
      </w:r>
      <w:r>
        <w:rPr>
          <w:rFonts w:ascii="Noto Sans CJK SC" w:hAnsi="Noto Sans CJK SC" w:eastAsia="Noto Sans CJK SC"/>
          <w:sz w:val="21"/>
        </w:rPr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5. 人工提交的知识必须经过审核。</w:t>
      </w:r>
    </w:p>
    <w:p>
      <w:pPr>
        <w:ind w:left="312" w:hanging="312"/>
      </w:pPr>
      <w:r>
        <w:rPr>
          <w:rFonts w:ascii="Noto Sans CJK SC" w:hAnsi="Noto Sans CJK SC" w:eastAsia="Noto Sans CJK SC"/>
          <w:sz w:val="21"/>
        </w:rPr>
        <w:t>6. 工单和页面明确标注 AI 建议需要人工复核。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7. 异常处理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异常情况</w:t>
            </w:r>
          </w:p>
        </w:tc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处理方式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模型未配置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返回本地检索摘要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模型超时或报错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显示简要错误并自动降级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索引版本或数据变化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自动重建索引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PDF 无可提取文本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跳过空内容并给出提示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图片过大或格式错误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拒绝上传并说明原因</w:t>
            </w:r>
          </w:p>
        </w:tc>
      </w:tr>
      <w:tr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证据不足</w:t>
            </w:r>
          </w:p>
        </w:tc>
        <w:tc>
          <w:tcPr>
            <w:tcW w:type="dxa" w:w="4929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提示补充信息，不给出直接拆检建议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8. 性能设计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当前内置数据共 36 个知识片段，稀疏矩阵常驻内存。内置 18 条问题的平均检索耗时约 2.4 ms。该结果仅代表当前数据规模；企业数据扩大后，可在保持上层接口不变的情况下接入 FAISS、Milvus、Elasticsearch 或其他检索服务。</w:t>
      </w:r>
    </w:p>
    <w:p>
      <w:pPr>
        <w:pStyle w:val="Heading1"/>
      </w:pPr>
      <w:r>
        <w:rPr>
          <w:rFonts w:ascii="Noto Sans CJK SC" w:hAnsi="Noto Sans CJK SC" w:eastAsia="Noto Sans CJK SC"/>
          <w:sz w:val="21"/>
        </w:rPr>
        <w:t>9. 平台设计</w:t>
      </w:r>
    </w:p>
    <w:p>
      <w:pPr>
        <w:ind w:firstLine="420"/>
      </w:pPr>
      <w:r>
        <w:rPr>
          <w:rFonts w:ascii="Noto Sans CJK SC" w:hAnsi="Noto Sans CJK SC" w:eastAsia="Noto Sans CJK SC"/>
          <w:sz w:val="21"/>
        </w:rPr>
        <w:t>项目依赖 Python 生态组件。正式提交前需要在 LoongArch + 银河麒麟 V10/V11 环境验证 Python、NumPy、pandas、scikit-learn、Pillow、Streamlit 和 Graphviz 的安装与运行，并执行严格平台检查、核心测试和页面冒烟测试。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085"/>
        <w:sz w:val="17"/>
      </w:rPr>
      <w:t>软件功能设计文档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7085"/>
        <w:sz w:val="17"/>
      </w:rPr>
      <w:t>EquipMind A1 · 第十五届中国软件杯 A1 赛题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软件功能设计文档</dc:title>
  <dc:subject>第十五届中国软件杯 A1 赛题提交文档</dc:subject>
  <dc:creator>EquipMind A1 参赛团队</dc:creator>
  <cp:keywords>设备检修, 多模态, RAG, LoongArch, 银河麒麟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