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242E"/>
          <w:sz w:val="36"/>
          <w:szCs w:val="36"/>
        </w:rPr>
        <w:t xml:space="preserve">Growth Portal Course Proposal Template</w:t>
      </w:r>
    </w:p>
    <w:p>
      <w:pPr>
        <w:pBdr>
          <w:bottom w:val="single" w:color="17A150" w:sz="6"/>
        </w:pBdr>
        <w:spacing w:after="300"/>
      </w:pPr>
      <w:r>
        <w:rPr>
          <w:i/>
          <w:iCs/>
          <w:color w:val="666666"/>
          <w:sz w:val="20"/>
          <w:szCs w:val="20"/>
        </w:rPr>
        <w:t xml:space="preserve">Fill in every field before submitting for audit. Fields left blank will be flagged as gaps.</w:t>
      </w:r>
    </w:p>
    <w:p>
      <w:pPr>
        <w:spacing w:after="80"/>
      </w:pPr>
      <w:r>
        <w:rPr>
          <w:b/>
          <w:bCs/>
          <w:color w:val="1F242E"/>
          <w:sz w:val="24"/>
          <w:szCs w:val="24"/>
        </w:rPr>
        <w:t xml:space="preserve">Course Title</w:t>
      </w:r>
    </w:p>
    <w:p>
      <w:pPr>
        <w:pBdr>
          <w:bottom w:val="single" w:color="CCCCCC" w:sz="4"/>
        </w:pBdr>
        <w:spacing w:after="240"/>
      </w:pPr>
      <w:r>
        <w:rPr>
          <w:color w:val="999999"/>
          <w:sz w:val="22"/>
          <w:szCs w:val="22"/>
        </w:rPr>
        <w:t xml:space="preserve">[Working title — descriptive, not clever. State the technology/skill and the outcome level (e.g. foundations vs production).]</w:t>
      </w:r>
    </w:p>
    <w:p>
      <w:pPr>
        <w:pStyle w:val="Heading1"/>
        <w:spacing w:after="120" w:before="360"/>
      </w:pPr>
      <w:r>
        <w:rPr>
          <w:b/>
          <w:bCs/>
          <w:color w:val="1F242E"/>
        </w:rPr>
        <w:t xml:space="preserve">1. Background &amp; Strategic Fit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Answer: what documented skill gap does this close, and who besides you needs it? A personal training-plan origin is not sufficient on its own — name the bench/intern/client need this serves.</w:t>
      </w:r>
    </w:p>
    <w:p>
      <w:pPr>
        <w:pBdr>
          <w:bottom w:val="single" w:color="CCCCCC" w:sz="4"/>
        </w:pBdr>
        <w:spacing w:after="240"/>
      </w:pPr>
      <w:r>
        <w:rPr>
          <w:color w:val="999999"/>
          <w:sz w:val="22"/>
          <w:szCs w:val="22"/>
        </w:rPr>
        <w:t xml:space="preserve">[Background and strategic justification]</w:t>
      </w:r>
    </w:p>
    <w:p>
      <w:pPr>
        <w:pStyle w:val="Heading1"/>
        <w:spacing w:after="120" w:before="360"/>
      </w:pPr>
      <w:r>
        <w:rPr>
          <w:b/>
          <w:bCs/>
          <w:color w:val="1F242E"/>
        </w:rPr>
        <w:t xml:space="preserve">2. Target Learners &amp; Prerequisites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Define the exact starting capability required, not a broad label like "developers." List specific prerequisite skills/tools. State mandatory vs elective and expected headcount.</w:t>
      </w:r>
    </w:p>
    <w:p>
      <w:pPr>
        <w:pStyle w:val="Heading2"/>
        <w:spacing w:after="80" w:before="200"/>
      </w:pPr>
      <w:r>
        <w:rPr>
          <w:b/>
          <w:bCs/>
          <w:color w:val="1F242E"/>
          <w:sz w:val="22"/>
          <w:szCs w:val="22"/>
        </w:rPr>
        <w:t xml:space="preserve">Target audience</w:t>
      </w:r>
    </w:p>
    <w:p>
      <w:pPr>
        <w:pBdr>
          <w:bottom w:val="single" w:color="CCCCCC" w:sz="4"/>
        </w:pBdr>
        <w:spacing w:after="240"/>
      </w:pPr>
      <w:r>
        <w:rPr>
          <w:color w:val="999999"/>
          <w:sz w:val="22"/>
          <w:szCs w:val="22"/>
        </w:rPr>
        <w:t xml:space="preserve">[Who this course is for, and their starting capability]</w:t>
      </w:r>
    </w:p>
    <w:p>
      <w:pPr>
        <w:pStyle w:val="Heading2"/>
        <w:spacing w:after="80" w:before="200"/>
      </w:pPr>
      <w:r>
        <w:rPr>
          <w:b/>
          <w:bCs/>
          <w:color w:val="1F242E"/>
          <w:sz w:val="22"/>
          <w:szCs w:val="22"/>
        </w:rPr>
        <w:t xml:space="preserve">Prerequisites</w:t>
      </w:r>
    </w:p>
    <w:p>
      <w:pPr>
        <w:pBdr>
          <w:bottom w:val="single" w:color="CCCCCC" w:sz="4"/>
        </w:pBdr>
        <w:spacing w:after="240"/>
      </w:pPr>
      <w:r>
        <w:rPr>
          <w:color w:val="999999"/>
          <w:sz w:val="22"/>
          <w:szCs w:val="22"/>
        </w:rPr>
        <w:t xml:space="preserve">[Specific skills/tools learners must already have]</w:t>
      </w:r>
    </w:p>
    <w:p>
      <w:pPr>
        <w:pStyle w:val="Heading2"/>
        <w:spacing w:after="80" w:before="200"/>
      </w:pPr>
      <w:r>
        <w:rPr>
          <w:b/>
          <w:bCs/>
          <w:color w:val="1F242E"/>
          <w:sz w:val="22"/>
          <w:szCs w:val="22"/>
        </w:rPr>
        <w:t xml:space="preserve">Mandate</w:t>
      </w:r>
    </w:p>
    <w:p>
      <w:pPr>
        <w:pBdr>
          <w:bottom w:val="single" w:color="CCCCCC" w:sz="4"/>
        </w:pBdr>
        <w:spacing w:after="240"/>
      </w:pPr>
      <w:r>
        <w:rPr>
          <w:color w:val="999999"/>
          <w:sz w:val="22"/>
          <w:szCs w:val="22"/>
        </w:rPr>
        <w:t xml:space="preserve">[Mandatory or elective, and expected headcount]</w:t>
      </w:r>
    </w:p>
    <w:p>
      <w:pPr>
        <w:pStyle w:val="Heading1"/>
        <w:spacing w:after="120" w:before="360"/>
      </w:pPr>
      <w:r>
        <w:rPr>
          <w:b/>
          <w:bCs/>
          <w:color w:val="1F242E"/>
        </w:rPr>
        <w:t xml:space="preserve">3. Duplication Check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Confirm this doesn't overlap with existing Growth Portal content or licensed platforms (Pluralsight, iMocha). If a technology choice is contestable against an industry-standard alternative, justify the choice here.</w:t>
      </w:r>
    </w:p>
    <w:p>
      <w:pPr>
        <w:pBdr>
          <w:bottom w:val="single" w:color="CCCCCC" w:sz="4"/>
        </w:pBdr>
        <w:spacing w:after="240"/>
      </w:pPr>
      <w:r>
        <w:rPr>
          <w:color w:val="999999"/>
          <w:sz w:val="22"/>
          <w:szCs w:val="22"/>
        </w:rPr>
        <w:t xml:space="preserve">[Existing content checked, and technology-choice justification if applicable]</w:t>
      </w:r>
    </w:p>
    <w:p>
      <w:pPr>
        <w:pStyle w:val="Heading1"/>
        <w:spacing w:after="120" w:before="360"/>
      </w:pPr>
      <w:r>
        <w:rPr>
          <w:b/>
          <w:bCs/>
          <w:color w:val="1F242E"/>
        </w:rPr>
        <w:t xml:space="preserve">4. Course Objectives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Use assessable verbs (deploy, configure, diagnose, implement) — not "understand" or "know." State the required proficiency level for each objective. Number them; they will be referenced in the task breakdown, module table, and assessment rubric below.</w:t>
      </w:r>
    </w:p>
    <w:p>
      <w:pPr>
        <w:pBdr>
          <w:bottom w:val="single" w:color="CCCCCC" w:sz="4"/>
        </w:pBdr>
        <w:spacing w:after="240"/>
      </w:pPr>
      <w:r>
        <w:rPr>
          <w:color w:val="999999"/>
          <w:sz w:val="22"/>
          <w:szCs w:val="22"/>
        </w:rPr>
        <w:t xml:space="preserve">[Numbered list of objectives]</w:t>
      </w:r>
    </w:p>
    <w:p>
      <w:pPr>
        <w:pStyle w:val="Heading1"/>
        <w:spacing w:after="120" w:before="360"/>
      </w:pPr>
      <w:r>
        <w:rPr>
          <w:b/>
          <w:bCs/>
          <w:color w:val="1F242E"/>
        </w:rPr>
        <w:t xml:space="preserve">5. Task Analysis / Breakdown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Break each objective into the component tasks a learner must perform to reach it, before designing modules. Mark each task Terminal (the objective itself) or Enabling (a prerequisite sub-skill), and note dependency order. This is what determines module sequencing in Section 6 — don't skip to modules without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1800"/>
        <w:gridCol w:w="2400"/>
      </w:tblGrid>
      <w:tr>
        <w:trPr>
          <w:tblHeader/>
        </w:trPr>
        <w:tc>
          <w:tcPr>
            <w:tcW w:type="dxa" w:w="1200"/>
            <w:shd w:fill="1F24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 #</w:t>
            </w:r>
          </w:p>
        </w:tc>
        <w:tc>
          <w:tcPr>
            <w:tcW w:type="dxa" w:w="4680"/>
            <w:shd w:fill="1F24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 / Sub-skill (the smallest unit a learner must perform)</w:t>
            </w:r>
          </w:p>
        </w:tc>
        <w:tc>
          <w:tcPr>
            <w:tcW w:type="dxa" w:w="1800"/>
            <w:shd w:fill="1F24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shd w:fill="1F24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Depends On (task #)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360"/>
      </w:pPr>
      <w:r>
        <w:rPr>
          <w:b/>
          <w:bCs/>
          <w:color w:val="1F242E"/>
        </w:rPr>
        <w:t xml:space="preserve">6. Proposed Modules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Each module needs its own outcome, activity, assessment, prerequisite, and duration — not just a topic name. The Obj # column must trace back to Section 4; a module with no objective number is a module nobody asked for.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700"/>
        <w:gridCol w:w="1600"/>
        <w:gridCol w:w="1600"/>
        <w:gridCol w:w="1500"/>
        <w:gridCol w:w="1500"/>
        <w:gridCol w:w="880"/>
      </w:tblGrid>
      <w:tr>
        <w:trPr>
          <w:tblHeader/>
        </w:trPr>
        <w:tc>
          <w:tcPr>
            <w:tcW w:type="dxa" w:w="600"/>
            <w:shd w:fill="1F24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00"/>
            <w:shd w:fill="1F24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 Title</w:t>
            </w:r>
          </w:p>
        </w:tc>
        <w:tc>
          <w:tcPr>
            <w:tcW w:type="dxa" w:w="700"/>
            <w:shd w:fill="1F24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 #</w:t>
            </w:r>
          </w:p>
        </w:tc>
        <w:tc>
          <w:tcPr>
            <w:tcW w:type="dxa" w:w="1600"/>
            <w:shd w:fill="1F24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Learning Outcome</w:t>
            </w:r>
          </w:p>
        </w:tc>
        <w:tc>
          <w:tcPr>
            <w:tcW w:type="dxa" w:w="1600"/>
            <w:shd w:fill="1F24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 / Format</w:t>
            </w:r>
          </w:p>
        </w:tc>
        <w:tc>
          <w:tcPr>
            <w:tcW w:type="dxa" w:w="1500"/>
            <w:shd w:fill="1F24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  <w:tc>
          <w:tcPr>
            <w:tcW w:type="dxa" w:w="1500"/>
            <w:shd w:fill="1F24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880"/>
            <w:shd w:fill="1F24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8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8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8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8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360"/>
      </w:pPr>
      <w:r>
        <w:rPr>
          <w:b/>
          <w:bCs/>
          <w:color w:val="1F242E"/>
        </w:rPr>
        <w:t xml:space="preserve">7. Instructional Strategy &amp; Delivery Format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State the delivery method: self-paced, facilitated, cohort, or 1:1 with a mentor. State total course duration and estimated time per module.</w:t>
      </w:r>
    </w:p>
    <w:p>
      <w:pPr>
        <w:pBdr>
          <w:bottom w:val="single" w:color="CCCCCC" w:sz="4"/>
        </w:pBdr>
        <w:spacing w:after="240"/>
      </w:pPr>
      <w:r>
        <w:rPr>
          <w:color w:val="999999"/>
          <w:sz w:val="22"/>
          <w:szCs w:val="22"/>
        </w:rPr>
        <w:t xml:space="preserve">[Delivery method and duration]</w:t>
      </w:r>
    </w:p>
    <w:p>
      <w:pPr>
        <w:pStyle w:val="Heading1"/>
        <w:spacing w:after="120" w:before="360"/>
      </w:pPr>
      <w:r>
        <w:rPr>
          <w:b/>
          <w:bCs/>
          <w:color w:val="1F242E"/>
        </w:rPr>
        <w:t xml:space="preserve">8. Materials &amp; Resources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List planned materials beyond the infra/tool stack: slides, video, written docs, reference links.</w:t>
      </w:r>
    </w:p>
    <w:p>
      <w:pPr>
        <w:pBdr>
          <w:bottom w:val="single" w:color="CCCCCC" w:sz="4"/>
        </w:pBdr>
        <w:spacing w:after="240"/>
      </w:pPr>
      <w:r>
        <w:rPr>
          <w:color w:val="999999"/>
          <w:sz w:val="22"/>
          <w:szCs w:val="22"/>
        </w:rPr>
        <w:t xml:space="preserve">[Materials plan]</w:t>
      </w:r>
    </w:p>
    <w:p>
      <w:pPr>
        <w:pStyle w:val="Heading1"/>
        <w:spacing w:after="120" w:before="360"/>
      </w:pPr>
      <w:r>
        <w:rPr>
          <w:b/>
          <w:bCs/>
          <w:color w:val="1F242E"/>
        </w:rPr>
        <w:t xml:space="preserve">9. Hands-On Environment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Describe the infrastructure. Confirm the environment can actually support every promised objective (e.g. don't promise high availability on a single-node setup). Document networking/security for any external infrastructure, and how the environment will be provisioned for learners beyond you.</w:t>
      </w:r>
    </w:p>
    <w:p>
      <w:pPr>
        <w:pBdr>
          <w:bottom w:val="single" w:color="CCCCCC" w:sz="4"/>
        </w:pBdr>
        <w:spacing w:after="240"/>
      </w:pPr>
      <w:r>
        <w:rPr>
          <w:color w:val="999999"/>
          <w:sz w:val="22"/>
          <w:szCs w:val="22"/>
        </w:rPr>
        <w:t xml:space="preserve">[Environment description, technical constraints, and provisioning plan]</w:t>
      </w:r>
    </w:p>
    <w:p>
      <w:pPr>
        <w:pStyle w:val="Heading1"/>
        <w:spacing w:after="120" w:before="360"/>
      </w:pPr>
      <w:r>
        <w:rPr>
          <w:b/>
          <w:bCs/>
          <w:color w:val="1F242E"/>
        </w:rPr>
        <w:t xml:space="preserve">10. Assessment Plan / Capstone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Every objective in Section 4 must map to at least one row below. List specific, observable pass criteria — not just a list of activities.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2600"/>
        <w:gridCol w:w="2380"/>
      </w:tblGrid>
      <w:tr>
        <w:trPr>
          <w:tblHeader/>
        </w:trPr>
        <w:tc>
          <w:tcPr>
            <w:tcW w:type="dxa" w:w="5100"/>
            <w:shd w:fill="1F24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Criterion (specific, observable, checkable)</w:t>
            </w:r>
          </w:p>
        </w:tc>
        <w:tc>
          <w:tcPr>
            <w:tcW w:type="dxa" w:w="2600"/>
            <w:shd w:fill="1F24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Maps to Objective #</w:t>
            </w:r>
          </w:p>
        </w:tc>
        <w:tc>
          <w:tcPr>
            <w:tcW w:type="dxa" w:w="2380"/>
            <w:shd w:fill="1F24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/ Fail Threshold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8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8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8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8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8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360"/>
      </w:pPr>
      <w:r>
        <w:rPr>
          <w:b/>
          <w:bCs/>
          <w:color w:val="1F242E"/>
        </w:rPr>
        <w:t xml:space="preserve">11. Mid-Course Feedback Checkpoints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A final capstone alone is too late to catch a learner drifting off track. Define at least one checkpoint before the final assessment.</w:t>
      </w:r>
    </w:p>
    <w:p>
      <w:pPr>
        <w:pBdr>
          <w:bottom w:val="single" w:color="CCCCCC" w:sz="4"/>
        </w:pBdr>
        <w:spacing w:after="240"/>
      </w:pPr>
      <w:r>
        <w:rPr>
          <w:color w:val="999999"/>
          <w:sz w:val="22"/>
          <w:szCs w:val="22"/>
        </w:rPr>
        <w:t xml:space="preserve">[Checkpoint(s) and how feedback is delivered]</w:t>
      </w:r>
    </w:p>
    <w:p>
      <w:pPr>
        <w:pStyle w:val="Heading1"/>
        <w:spacing w:after="120" w:before="360"/>
      </w:pPr>
      <w:r>
        <w:rPr>
          <w:b/>
          <w:bCs/>
          <w:color w:val="1F242E"/>
        </w:rPr>
        <w:t xml:space="preserve">12. Success Metric &amp; Reporting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Define the completion/mastery signal and how it rolls into Rocks (checkpoint ratings, bench action plan tracking). A course with no reporting hook is invisible to EM oversight.</w:t>
      </w:r>
    </w:p>
    <w:p>
      <w:pPr>
        <w:pBdr>
          <w:bottom w:val="single" w:color="CCCCCC" w:sz="4"/>
        </w:pBdr>
        <w:spacing w:after="240"/>
      </w:pPr>
      <w:r>
        <w:rPr>
          <w:color w:val="999999"/>
          <w:sz w:val="22"/>
          <w:szCs w:val="22"/>
        </w:rPr>
        <w:t xml:space="preserve">[Completion signal and Rocks hookup]</w:t>
      </w:r>
    </w:p>
    <w:p>
      <w:pPr>
        <w:pStyle w:val="Heading1"/>
        <w:spacing w:after="120" w:before="360"/>
      </w:pPr>
      <w:r>
        <w:rPr>
          <w:b/>
          <w:bCs/>
          <w:color w:val="1F242E"/>
        </w:rPr>
        <w:t xml:space="preserve">13. Maintenance Owner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Name who owns keeping this content current after launch. Technical content ages quickly.</w:t>
      </w:r>
    </w:p>
    <w:p>
      <w:pPr>
        <w:pBdr>
          <w:bottom w:val="single" w:color="CCCCCC" w:sz="4"/>
        </w:pBdr>
        <w:spacing w:after="240"/>
      </w:pPr>
      <w:r>
        <w:rPr>
          <w:color w:val="999999"/>
          <w:sz w:val="22"/>
          <w:szCs w:val="22"/>
        </w:rPr>
        <w:t xml:space="preserve">[Owner name/role]</w:t>
      </w:r>
    </w:p>
    <w:p>
      <w:pPr>
        <w:pStyle w:val="Heading1"/>
        <w:spacing w:after="120" w:before="360"/>
      </w:pPr>
      <w:r>
        <w:rPr>
          <w:b/>
          <w:bCs/>
          <w:color w:val="1F242E"/>
        </w:rPr>
        <w:t xml:space="preserve">14. Execution Plan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Include design review, technical validation, pilot delivery, and a revision cycle — not just a content-production schedule.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700"/>
        <w:gridCol w:w="2680"/>
      </w:tblGrid>
      <w:tr>
        <w:trPr>
          <w:tblHeader/>
        </w:trPr>
        <w:tc>
          <w:tcPr>
            <w:tcW w:type="dxa" w:w="2000"/>
            <w:shd w:fill="1F24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 / Window</w:t>
            </w:r>
          </w:p>
        </w:tc>
        <w:tc>
          <w:tcPr>
            <w:tcW w:type="dxa" w:w="2700"/>
            <w:shd w:fill="1F24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700"/>
            <w:shd w:fill="1F24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680"/>
            <w:shd w:fill="1F24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 review with EM</w:t>
            </w:r>
          </w:p>
        </w:tc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Technical/content validation</w:t>
            </w:r>
          </w:p>
        </w:tc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 build</w:t>
            </w:r>
          </w:p>
        </w:tc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Pilot delivery (1-2 learners)</w:t>
            </w:r>
          </w:p>
        </w:tc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Revision based on pilot feedback</w:t>
            </w:r>
          </w:p>
        </w:tc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Publish to Growth Portal</w:t>
            </w:r>
          </w:p>
        </w:tc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360"/>
      </w:pPr>
      <w:r>
        <w:rPr>
          <w:b/>
          <w:bCs/>
          <w:color w:val="1F242E"/>
        </w:rPr>
        <w:t xml:space="preserve">15. Expected Outcome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State what learners will be capable of doing after the course, in one measurable sentence — not what the course will contain.</w:t>
      </w:r>
    </w:p>
    <w:p>
      <w:pPr>
        <w:pBdr>
          <w:bottom w:val="single" w:color="CCCCCC" w:sz="4"/>
        </w:pBdr>
        <w:spacing w:after="240"/>
      </w:pPr>
      <w:r>
        <w:rPr>
          <w:color w:val="999999"/>
          <w:sz w:val="22"/>
          <w:szCs w:val="22"/>
        </w:rPr>
        <w:t xml:space="preserve">[Measurable learner outcome]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2026-08-27T20:22:07.179Z</dcterms:created>
  <dcterms:modified xsi:type="dcterms:W3CDTF">2026-08-27T20:22:07.194Z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