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Brief — Bijlmermeer Urban Renewal Case</w:t>
      </w:r>
    </w:p>
    <w:p>
      <w:r>
        <w:rPr>
          <w:b/>
          <w:sz w:val="18"/>
        </w:rPr>
        <w:t>SYNTHETIC DEMO — illustrative training case, not an authentic project record.</w:t>
      </w:r>
    </w:p>
    <w:p>
      <w:pPr>
        <w:pStyle w:val="Heading1"/>
      </w:pPr>
      <w:r>
        <w:t>Synthetic status and purpose</w:t>
      </w:r>
    </w:p>
    <w:p>
      <w:r>
        <w:t>SYNTHETIC DEMO — illustrative training case, not an authentic project record. This brief is a fabricated project input designed to test document classification. It uses public context but does not represent a commission by the Municipality of Amsterdam or any named stakeholder.</w:t>
      </w:r>
    </w:p>
    <w:p>
      <w:pPr>
        <w:pStyle w:val="Heading1"/>
      </w:pPr>
      <w:r>
        <w:t>Brief</w:t>
      </w:r>
    </w:p>
    <w:p>
      <w:r>
        <w:t>Prepare a concept-level renewal framework for a representative Bijlmermeer superblock in Amsterdam Zuidoost. Retain the social and spatial value of generous green space while improving everyday safety, climate resilience, accessibility, and housing choice.</w:t>
      </w:r>
    </w:p>
    <w:p>
      <w:pPr>
        <w:pStyle w:val="Heading1"/>
      </w:pPr>
      <w:r>
        <w:t>Illustrative programme</w:t>
      </w:r>
    </w:p>
    <w:p>
      <w:r>
        <w:t>Test three retrofit options for 420 existing homes; introduce approximately 180 new mixed-tenure homes at street edges; convert 2,400 square metres of underused service frontage into community, mobility, and small-business space; and create a 1.2-kilometre blue-green connector.</w:t>
      </w:r>
    </w:p>
    <w:p>
      <w:pPr>
        <w:pStyle w:val="Heading1"/>
      </w:pPr>
      <w:r>
        <w:t>Success criteria</w:t>
      </w:r>
    </w:p>
    <w:p>
      <w:r>
        <w:t>No net loss of publicly accessible green area; an accessible route to transit within 400 metres of each residential entrance; a resident continuity plan; a clear structural and flood-risk evidence chain; and a staged cost and procurement strategy.</w:t>
      </w:r>
    </w:p>
    <w:p>
      <w:pPr>
        <w:pStyle w:val="Heading1"/>
      </w:pPr>
      <w:r>
        <w:t>Decisions required this phase</w:t>
      </w:r>
    </w:p>
    <w:p>
      <w:r>
        <w:t>Select repair versus replacement principles, agree the movement hierarchy, locate rainwater storage, define the first delivery package, and identify evidence that must be confirmed before planning submission.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Malgun Gothic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MS Mincho"/>
        <a:font script="Hang" typeface="Malgun Gothic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