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coordination meeting</w:t>
      </w:r>
    </w:p>
    <w:p>
      <w:r>
        <w:t>Bijlmermeer Cluster B</w:t>
        <w:br/>
        <w:t>Meeting DC 012   25 April 2025   Revision 01</w:t>
      </w:r>
    </w:p>
    <w:p>
      <w:r>
        <w:t>SYNTHETIC DEMO - fictional project records - NOT FOR CONSTRUCTION</w:t>
      </w:r>
    </w:p>
    <w:p>
      <w:r>
        <w:t>The team agreed to develop the courtyard access option and keep the facade specification open until the sample bay review. This fictional record tracks design actions and unresolved coordination points.</w:t>
      </w:r>
    </w:p>
    <w:p>
      <w:pPr>
        <w:pStyle w:val="Heading1"/>
      </w:pPr>
      <w:r>
        <w:t>Attendees</w:t>
      </w:r>
    </w:p>
    <w:p>
      <w:r>
        <w:t>Studio B27 architecture team; Canal Landscape mock consultant; Delta Services mock engineer; fictional client representative. Organisation names and roles are fabricated.</w:t>
      </w:r>
    </w:p>
    <w:p>
      <w:pPr>
        <w:pStyle w:val="Heading1"/>
      </w:pPr>
      <w:r>
        <w:t>Decisions and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1728"/>
        <w:gridCol w:w="1296"/>
      </w:tblGrid>
      <w:tr>
        <w:tc>
          <w:tcPr>
            <w:tcW w:type="dxa" w:w="792"/>
            <w:shd w:fill="E5E7EB"/>
          </w:tcPr>
          <w:p>
            <w:r>
              <w:t>ID</w:t>
            </w:r>
          </w:p>
        </w:tc>
        <w:tc>
          <w:tcPr>
            <w:tcW w:type="dxa" w:w="4320"/>
            <w:shd w:fill="E5E7EB"/>
          </w:tcPr>
          <w:p>
            <w:r>
              <w:t>Action</w:t>
            </w:r>
          </w:p>
        </w:tc>
        <w:tc>
          <w:tcPr>
            <w:tcW w:type="dxa" w:w="1728"/>
            <w:shd w:fill="E5E7EB"/>
          </w:tcPr>
          <w:p>
            <w:r>
              <w:t>Owner</w:t>
            </w:r>
          </w:p>
        </w:tc>
        <w:tc>
          <w:tcPr>
            <w:tcW w:type="dxa" w:w="1296"/>
            <w:shd w:fill="E5E7EB"/>
          </w:tcPr>
          <w:p>
            <w:r>
              <w:t>Due</w:t>
            </w:r>
          </w:p>
        </w:tc>
      </w:tr>
      <w:tr>
        <w:tc>
          <w:tcPr>
            <w:tcW w:type="dxa" w:w="792"/>
          </w:tcPr>
          <w:p>
            <w:r>
              <w:t>A01</w:t>
            </w:r>
          </w:p>
        </w:tc>
        <w:tc>
          <w:tcPr>
            <w:tcW w:type="dxa" w:w="4320"/>
          </w:tcPr>
          <w:p>
            <w:r>
              <w:t>Issue revised entrance threshold sketch</w:t>
            </w:r>
          </w:p>
        </w:tc>
        <w:tc>
          <w:tcPr>
            <w:tcW w:type="dxa" w:w="1728"/>
          </w:tcPr>
          <w:p>
            <w:r>
              <w:t>Architect</w:t>
            </w:r>
          </w:p>
        </w:tc>
        <w:tc>
          <w:tcPr>
            <w:tcW w:type="dxa" w:w="1296"/>
          </w:tcPr>
          <w:p>
            <w:r>
              <w:t>02 May</w:t>
            </w:r>
          </w:p>
        </w:tc>
      </w:tr>
      <w:tr>
        <w:tc>
          <w:tcPr>
            <w:tcW w:type="dxa" w:w="792"/>
          </w:tcPr>
          <w:p>
            <w:r>
              <w:t>A02</w:t>
            </w:r>
          </w:p>
        </w:tc>
        <w:tc>
          <w:tcPr>
            <w:tcW w:type="dxa" w:w="4320"/>
          </w:tcPr>
          <w:p>
            <w:r>
              <w:t>Check planting above service route</w:t>
            </w:r>
          </w:p>
        </w:tc>
        <w:tc>
          <w:tcPr>
            <w:tcW w:type="dxa" w:w="1728"/>
          </w:tcPr>
          <w:p>
            <w:r>
              <w:t>Landscape</w:t>
            </w:r>
          </w:p>
        </w:tc>
        <w:tc>
          <w:tcPr>
            <w:tcW w:type="dxa" w:w="1296"/>
          </w:tcPr>
          <w:p>
            <w:r>
              <w:t>05 May</w:t>
            </w:r>
          </w:p>
        </w:tc>
      </w:tr>
      <w:tr>
        <w:tc>
          <w:tcPr>
            <w:tcW w:type="dxa" w:w="792"/>
          </w:tcPr>
          <w:p>
            <w:r>
              <w:t>A03</w:t>
            </w:r>
          </w:p>
        </w:tc>
        <w:tc>
          <w:tcPr>
            <w:tcW w:type="dxa" w:w="4320"/>
          </w:tcPr>
          <w:p>
            <w:r>
              <w:t>Resolve rainwater pipe at facade</w:t>
            </w:r>
          </w:p>
        </w:tc>
        <w:tc>
          <w:tcPr>
            <w:tcW w:type="dxa" w:w="1728"/>
          </w:tcPr>
          <w:p>
            <w:r>
              <w:t>MEP</w:t>
            </w:r>
          </w:p>
        </w:tc>
        <w:tc>
          <w:tcPr>
            <w:tcW w:type="dxa" w:w="1296"/>
          </w:tcPr>
          <w:p>
            <w:r>
              <w:t>06 May</w:t>
            </w:r>
          </w:p>
        </w:tc>
      </w:tr>
      <w:tr>
        <w:tc>
          <w:tcPr>
            <w:tcW w:type="dxa" w:w="792"/>
          </w:tcPr>
          <w:p>
            <w:r>
              <w:t>A04</w:t>
            </w:r>
          </w:p>
        </w:tc>
        <w:tc>
          <w:tcPr>
            <w:tcW w:type="dxa" w:w="4320"/>
          </w:tcPr>
          <w:p>
            <w:r>
              <w:t>Review access route with user group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296"/>
          </w:tcPr>
          <w:p>
            <w:r>
              <w:t>09 May</w:t>
            </w:r>
          </w:p>
        </w:tc>
      </w:tr>
    </w:tbl>
    <w:p>
      <w:pPr>
        <w:pStyle w:val="Heading1"/>
      </w:pPr>
      <w:r>
        <w:t>Items still open</w:t>
      </w:r>
    </w:p>
    <w:p>
      <w:r>
        <w:t>The proposed facade material is not approved. The courtyard levels must be checked against an actual measured survey before a real design could proceed. Next fictional meeting: 9 May 2025.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Demo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