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2980B9"/>
          <w:sz w:val="48"/>
        </w:rPr>
        <w:t>Legacy Java Microservices Project Takeover Checklist</w:t>
      </w:r>
    </w:p>
    <w:p>
      <w:pPr>
        <w:spacing w:after="720"/>
        <w:jc w:val="center"/>
      </w:pPr>
      <w:r>
        <w:rPr>
          <w:i/>
          <w:color w:val="7F8C8D"/>
          <w:sz w:val="26"/>
        </w:rPr>
        <w:t>Transition Guide from Local Demo Code to Alibaba Cloud 3-Environment Production Cluster</w:t>
      </w:r>
    </w:p>
    <w:p>
      <w:r>
        <w:br w:type="page"/>
      </w:r>
    </w:p>
    <w:p>
      <w:pPr>
        <w:pStyle w:val="Heading1"/>
        <w:keepNext/>
        <w:spacing w:before="360" w:after="240"/>
      </w:pPr>
      <w:r>
        <w:t>1. Executive Summary &amp; Objective</w:t>
      </w:r>
    </w:p>
    <w:p>
      <w:r>
        <w:t>This document is designed to guide technical leadership, system architects, and DevOps engineers through the complete ownership transfer and auditing of a running Java microservices project. The project's current source repository reflects a lightweight development demo (utilizing Spring Boot 3.2.5, Java 17, an in-memory H2 database, and local Caffeine caching), whereas the actual running production system is deployed on Alibaba Cloud across three separate environments. The primary goal of this playbook is to bridge the significant gap between the demo codebase and production configuration, mitigating operational risks, securing administrative control, and establishing a reliable continuous integration and delivery baseline.</w:t>
      </w:r>
    </w:p>
    <w:p>
      <w:pPr>
        <w:pStyle w:val="Heading1"/>
        <w:keepNext/>
        <w:spacing w:before="360" w:after="240"/>
      </w:pPr>
      <w:r>
        <w:t>2. Codebase-to-Production Gap Analysis Checklist</w:t>
      </w:r>
    </w:p>
    <w:tbl>
      <w:tblPr>
        <w:tblW w:type="auto" w:w="0"/>
        <w:jc w:val="center"/>
        <w:tblLook w:firstColumn="1" w:firstRow="1" w:lastColumn="0" w:lastRow="0" w:noHBand="0" w:noVBand="1" w:val="04A0"/>
      </w:tblPr>
      <w:tblGrid>
        <w:gridCol w:w="3120"/>
        <w:gridCol w:w="3120"/>
        <w:gridCol w:w="3120"/>
      </w:tblGrid>
      <w:tr>
        <w:tc>
          <w:tcPr>
            <w:tcW w:type="dxa" w:w="3120"/>
            <w:shd w:fill="2980B9"/>
            <w:tcMar>
              <w:top w:w="140" w:type="dxa"/>
              <w:bottom w:w="140" w:type="dxa"/>
              <w:left w:w="180" w:type="dxa"/>
              <w:right w:w="180" w:type="dxa"/>
            </w:tcMar>
          </w:tcPr>
          <w:p>
            <w:r>
              <w:rPr>
                <w:b/>
                <w:color w:val="FFFFFF"/>
                <w:sz w:val="20"/>
              </w:rPr>
              <w:t>Checklist Item</w:t>
            </w:r>
          </w:p>
        </w:tc>
        <w:tc>
          <w:tcPr>
            <w:tcW w:type="dxa" w:w="3120"/>
            <w:shd w:fill="2980B9"/>
            <w:tcMar>
              <w:top w:w="140" w:type="dxa"/>
              <w:bottom w:w="140" w:type="dxa"/>
              <w:left w:w="180" w:type="dxa"/>
              <w:right w:w="180" w:type="dxa"/>
            </w:tcMar>
          </w:tcPr>
          <w:p>
            <w:r>
              <w:rPr>
                <w:b/>
                <w:color w:val="FFFFFF"/>
                <w:sz w:val="20"/>
              </w:rPr>
              <w:t>Objective &amp; Technical Details</w:t>
            </w:r>
          </w:p>
        </w:tc>
        <w:tc>
          <w:tcPr>
            <w:tcW w:type="dxa" w:w="3120"/>
            <w:shd w:fill="2980B9"/>
            <w:tcMar>
              <w:top w:w="140" w:type="dxa"/>
              <w:bottom w:w="140" w:type="dxa"/>
              <w:left w:w="180" w:type="dxa"/>
              <w:right w:w="180" w:type="dxa"/>
            </w:tcMar>
          </w:tcPr>
          <w:p>
            <w:r>
              <w:rPr>
                <w:b/>
                <w:color w:val="FFFFFF"/>
                <w:sz w:val="20"/>
              </w:rPr>
              <w:t>Status / Sign-off</w:t>
            </w:r>
          </w:p>
        </w:tc>
      </w:tr>
      <w:tr>
        <w:tc>
          <w:tcPr>
            <w:tcW w:type="dxa" w:w="3120"/>
            <w:tcMar>
              <w:top w:w="100" w:type="dxa"/>
              <w:bottom w:w="100" w:type="dxa"/>
              <w:left w:w="120" w:type="dxa"/>
              <w:right w:w="120" w:type="dxa"/>
            </w:tcMar>
          </w:tcPr>
          <w:p>
            <w:r>
              <w:rPr>
                <w:b/>
                <w:sz w:val="19"/>
              </w:rPr>
              <w:t>Production POM vs. Demo POM Verification</w:t>
            </w:r>
          </w:p>
        </w:tc>
        <w:tc>
          <w:tcPr>
            <w:tcW w:type="dxa" w:w="3120"/>
            <w:tcMar>
              <w:top w:w="100" w:type="dxa"/>
              <w:bottom w:w="100" w:type="dxa"/>
              <w:left w:w="120" w:type="dxa"/>
              <w:right w:w="120" w:type="dxa"/>
            </w:tcMar>
          </w:tcPr>
          <w:p>
            <w:r>
              <w:rPr>
                <w:sz w:val="19"/>
              </w:rPr>
              <w:t>Identify and verify differences in dependencies between git version control and deployed production artifacts. Production builds likely require DB drivers (MySQL/Postgre/RDS), security starters (OAuth2/JWT), and APM instrumentation rather than local memory databases (H2) and memory cache (Caffeine).</w:t>
            </w:r>
          </w:p>
        </w:tc>
        <w:tc>
          <w:tcPr>
            <w:tcW w:type="dxa" w:w="3120"/>
            <w:tcMar>
              <w:top w:w="100" w:type="dxa"/>
              <w:bottom w:w="100" w:type="dxa"/>
              <w:left w:w="120" w:type="dxa"/>
              <w:right w:w="120" w:type="dxa"/>
            </w:tcMar>
          </w:tcPr>
          <w:p>
            <w:r>
              <w:rPr>
                <w:sz w:val="19"/>
              </w:rPr>
              <w:t>[  ] Pending</w:t>
            </w:r>
          </w:p>
        </w:tc>
      </w:tr>
      <w:tr>
        <w:tc>
          <w:tcPr>
            <w:tcW w:type="dxa" w:w="3120"/>
            <w:tcMar>
              <w:top w:w="100" w:type="dxa"/>
              <w:bottom w:w="100" w:type="dxa"/>
              <w:left w:w="120" w:type="dxa"/>
              <w:right w:w="120" w:type="dxa"/>
            </w:tcMar>
          </w:tcPr>
          <w:p>
            <w:r>
              <w:rPr>
                <w:b/>
                <w:sz w:val="19"/>
              </w:rPr>
              <w:t>Database Driver Migration Check</w:t>
            </w:r>
          </w:p>
        </w:tc>
        <w:tc>
          <w:tcPr>
            <w:tcW w:type="dxa" w:w="3120"/>
            <w:tcMar>
              <w:top w:w="100" w:type="dxa"/>
              <w:bottom w:w="100" w:type="dxa"/>
              <w:left w:w="120" w:type="dxa"/>
              <w:right w:w="120" w:type="dxa"/>
            </w:tcMar>
          </w:tcPr>
          <w:p>
            <w:r>
              <w:rPr>
                <w:sz w:val="19"/>
              </w:rPr>
              <w:t>Replace development-only H2 database drivers with proper production-ready drivers matching Alibaba Cloud RDS instances (e.g., MySQL Connector/J or PostgreSQL JDBC Driver).</w:t>
            </w:r>
          </w:p>
        </w:tc>
        <w:tc>
          <w:tcPr>
            <w:tcW w:type="dxa" w:w="3120"/>
            <w:tcMar>
              <w:top w:w="100" w:type="dxa"/>
              <w:bottom w:w="100" w:type="dxa"/>
              <w:left w:w="120" w:type="dxa"/>
              <w:right w:w="120" w:type="dxa"/>
            </w:tcMar>
          </w:tcPr>
          <w:p>
            <w:r>
              <w:rPr>
                <w:sz w:val="19"/>
              </w:rPr>
              <w:t>[  ] Pending</w:t>
            </w:r>
          </w:p>
        </w:tc>
      </w:tr>
      <w:tr>
        <w:tc>
          <w:tcPr>
            <w:tcW w:type="dxa" w:w="3120"/>
            <w:tcMar>
              <w:top w:w="100" w:type="dxa"/>
              <w:bottom w:w="100" w:type="dxa"/>
              <w:left w:w="120" w:type="dxa"/>
              <w:right w:w="120" w:type="dxa"/>
            </w:tcMar>
          </w:tcPr>
          <w:p>
            <w:r>
              <w:rPr>
                <w:b/>
                <w:sz w:val="19"/>
              </w:rPr>
              <w:t>Caching &amp; Session Storage Upgrade</w:t>
            </w:r>
          </w:p>
        </w:tc>
        <w:tc>
          <w:tcPr>
            <w:tcW w:type="dxa" w:w="3120"/>
            <w:tcMar>
              <w:top w:w="100" w:type="dxa"/>
              <w:bottom w:w="100" w:type="dxa"/>
              <w:left w:w="120" w:type="dxa"/>
              <w:right w:w="120" w:type="dxa"/>
            </w:tcMar>
          </w:tcPr>
          <w:p>
            <w:r>
              <w:rPr>
                <w:sz w:val="19"/>
              </w:rPr>
              <w:t>Replace local Caffeine caching with external distributed caching (e.g., Alibaba Cloud ApsaraDB for Redis) for multi-node stateless microservice clustering.</w:t>
            </w:r>
          </w:p>
        </w:tc>
        <w:tc>
          <w:tcPr>
            <w:tcW w:type="dxa" w:w="3120"/>
            <w:tcMar>
              <w:top w:w="100" w:type="dxa"/>
              <w:bottom w:w="100" w:type="dxa"/>
              <w:left w:w="120" w:type="dxa"/>
              <w:right w:w="120" w:type="dxa"/>
            </w:tcMar>
          </w:tcPr>
          <w:p>
            <w:r>
              <w:rPr>
                <w:sz w:val="19"/>
              </w:rPr>
              <w:t>[  ] Pending</w:t>
            </w:r>
          </w:p>
        </w:tc>
      </w:tr>
      <w:tr>
        <w:tc>
          <w:tcPr>
            <w:tcW w:type="dxa" w:w="3120"/>
            <w:tcMar>
              <w:top w:w="100" w:type="dxa"/>
              <w:bottom w:w="100" w:type="dxa"/>
              <w:left w:w="120" w:type="dxa"/>
              <w:right w:w="120" w:type="dxa"/>
            </w:tcMar>
          </w:tcPr>
          <w:p>
            <w:r>
              <w:rPr>
                <w:b/>
                <w:sz w:val="19"/>
              </w:rPr>
              <w:t>Configuration Properties Audit</w:t>
            </w:r>
          </w:p>
        </w:tc>
        <w:tc>
          <w:tcPr>
            <w:tcW w:type="dxa" w:w="3120"/>
            <w:tcMar>
              <w:top w:w="100" w:type="dxa"/>
              <w:bottom w:w="100" w:type="dxa"/>
              <w:left w:w="120" w:type="dxa"/>
              <w:right w:w="120" w:type="dxa"/>
            </w:tcMar>
          </w:tcPr>
          <w:p>
            <w:r>
              <w:rPr>
                <w:sz w:val="19"/>
              </w:rPr>
              <w:t>Verify if environment-specific properties (application-dev, application-test, application-prod) are maintained securely. Check for hardcoded secrets, connection strings, or service tokens in codebase repositories.</w:t>
            </w:r>
          </w:p>
        </w:tc>
        <w:tc>
          <w:tcPr>
            <w:tcW w:type="dxa" w:w="3120"/>
            <w:tcMar>
              <w:top w:w="100" w:type="dxa"/>
              <w:bottom w:w="100" w:type="dxa"/>
              <w:left w:w="120" w:type="dxa"/>
              <w:right w:w="120" w:type="dxa"/>
            </w:tcMar>
          </w:tcPr>
          <w:p>
            <w:r>
              <w:rPr>
                <w:sz w:val="19"/>
              </w:rPr>
              <w:t>[  ] Pending</w:t>
            </w:r>
          </w:p>
        </w:tc>
      </w:tr>
      <w:tr>
        <w:tc>
          <w:tcPr>
            <w:tcW w:type="dxa" w:w="3120"/>
            <w:tcMar>
              <w:top w:w="100" w:type="dxa"/>
              <w:bottom w:w="100" w:type="dxa"/>
              <w:left w:w="120" w:type="dxa"/>
              <w:right w:w="120" w:type="dxa"/>
            </w:tcMar>
          </w:tcPr>
          <w:p>
            <w:r>
              <w:rPr>
                <w:b/>
                <w:sz w:val="19"/>
              </w:rPr>
              <w:t>Spring Boot Actuator &amp; Metrics Setup</w:t>
            </w:r>
          </w:p>
        </w:tc>
        <w:tc>
          <w:tcPr>
            <w:tcW w:type="dxa" w:w="3120"/>
            <w:tcMar>
              <w:top w:w="100" w:type="dxa"/>
              <w:bottom w:w="100" w:type="dxa"/>
              <w:left w:w="120" w:type="dxa"/>
              <w:right w:w="120" w:type="dxa"/>
            </w:tcMar>
          </w:tcPr>
          <w:p>
            <w:r>
              <w:rPr>
                <w:sz w:val="19"/>
              </w:rPr>
              <w:t>Add 'spring-boot-starter-actuator' to the Maven POM to provide health checks, system metrics, and readiness/liveness endpoints for modern container orchestration.</w:t>
            </w:r>
          </w:p>
        </w:tc>
        <w:tc>
          <w:tcPr>
            <w:tcW w:type="dxa" w:w="3120"/>
            <w:tcMar>
              <w:top w:w="100" w:type="dxa"/>
              <w:bottom w:w="100" w:type="dxa"/>
              <w:left w:w="120" w:type="dxa"/>
              <w:right w:w="120" w:type="dxa"/>
            </w:tcMar>
          </w:tcPr>
          <w:p>
            <w:r>
              <w:rPr>
                <w:sz w:val="19"/>
              </w:rPr>
              <w:t>[  ] Pending</w:t>
            </w:r>
          </w:p>
        </w:tc>
      </w:tr>
    </w:tbl>
    <w:p>
      <w:pPr>
        <w:spacing w:after="240"/>
      </w:pPr>
    </w:p>
    <w:p>
      <w:pPr>
        <w:pStyle w:val="Heading1"/>
        <w:keepNext/>
        <w:spacing w:before="360" w:after="240"/>
      </w:pPr>
      <w:r>
        <w:t>3. Alibaba Cloud Infrastructure &amp; 3-Environment Audit</w:t>
      </w:r>
    </w:p>
    <w:p>
      <w:r>
        <w:t>A critical phase of the takeover is confirming and documenting resource boundaries across Development (Dev), Staging (Test), and Production (Prod) environments. Use the following detailed checklist:</w:t>
      </w:r>
    </w:p>
    <w:p>
      <w:pPr>
        <w:pStyle w:val="ListBullet"/>
        <w:spacing w:after="80"/>
      </w:pPr>
      <w:r>
        <w:rPr>
          <w:b/>
        </w:rPr>
        <w:t>Network Segmentation (VPC/VSwitch):</w:t>
      </w:r>
      <w:r>
        <w:t xml:space="preserve"> Verify distinct IP ranges, routing tables, and internet gateway rules for each environment. Ensure Prod is entirely isolated.</w:t>
      </w:r>
    </w:p>
    <w:p>
      <w:pPr>
        <w:pStyle w:val="ListBullet"/>
        <w:spacing w:after="80"/>
      </w:pPr>
      <w:r>
        <w:rPr>
          <w:b/>
        </w:rPr>
        <w:t>Alibaba Cloud RDS (Relational Database Service):</w:t>
      </w:r>
      <w:r>
        <w:t xml:space="preserve"> Document exact database configurations, connection limits, and backup rules (RPO/RTO parameters). Verify failover options.</w:t>
      </w:r>
    </w:p>
    <w:p>
      <w:pPr>
        <w:pStyle w:val="ListBullet"/>
        <w:spacing w:after="80"/>
      </w:pPr>
      <w:r>
        <w:rPr>
          <w:b/>
        </w:rPr>
        <w:t>Server Load Balancer (SLB) &amp; API Gateway:</w:t>
      </w:r>
      <w:r>
        <w:t xml:space="preserve"> Audit routing paths, SSL certificates (expiry dates, auto-renewal), rate-limiting configurations, and public endpoint entry points.</w:t>
      </w:r>
    </w:p>
    <w:p>
      <w:pPr>
        <w:pStyle w:val="ListBullet"/>
        <w:spacing w:after="80"/>
      </w:pPr>
      <w:r>
        <w:rPr>
          <w:b/>
        </w:rPr>
        <w:t>ECS / ACK (Kubernetes Engine):</w:t>
      </w:r>
      <w:r>
        <w:t xml:space="preserve"> Map all virtual machines and Kubernetes nodes. Audit auto-scaling metrics, image registration in Alibaba Container Registry (ACR), and cluster configurations.</w:t>
      </w:r>
    </w:p>
    <w:p>
      <w:pPr>
        <w:pStyle w:val="ListBullet"/>
        <w:spacing w:after="80"/>
      </w:pPr>
      <w:r>
        <w:rPr>
          <w:b/>
        </w:rPr>
        <w:t>Log Service (SLS) &amp; Cloud Monitor:</w:t>
      </w:r>
      <w:r>
        <w:t xml:space="preserve"> Confirm that centralized logging is active and alert notifications (SMS/Email) are routed to your team rather than previous owners.</w:t>
      </w:r>
    </w:p>
    <w:p>
      <w:pPr>
        <w:pStyle w:val="Heading1"/>
        <w:keepNext/>
        <w:spacing w:before="360" w:after="240"/>
      </w:pPr>
      <w:r>
        <w:t>4. Code Quality &amp; Security Audit Playbook</w:t>
      </w:r>
    </w:p>
    <w:p>
      <w:r>
        <w:t>To ensure no hidden backdoors, logic bombs, or vulnerable third-party modules survive the takeover, the team must run static code analysis and dependency audits immediately.</w:t>
      </w:r>
    </w:p>
    <w:p>
      <w:pPr>
        <w:pStyle w:val="ListBullet"/>
      </w:pPr>
      <w:r>
        <w:t>Search codebase for hardcoded keys, passwords, and private tokens. Migrate them to Alibaba Cloud KMS (Key Management Service) or Vault.</w:t>
      </w:r>
    </w:p>
    <w:p>
      <w:pPr>
        <w:pStyle w:val="ListBullet"/>
      </w:pPr>
      <w:r>
        <w:t>Conduct a full CVE scan on third-party libraries. Note that the demo pins fastjson2 v2.0.43 explicitly; evaluate if this version contains vulnerabilities and upgrade to a stable, non-pinned dependency managed version.</w:t>
      </w:r>
    </w:p>
    <w:p>
      <w:pPr>
        <w:pStyle w:val="ListBullet"/>
      </w:pPr>
      <w:r>
        <w:t>Scan the codebase for hidden risk markers such as comments containing 'TODO', 'FIXME', 'HACK', or undocumented backdoor API endpoints.</w:t>
      </w:r>
    </w:p>
    <w:p>
      <w:pPr>
        <w:pStyle w:val="ListBullet"/>
      </w:pPr>
      <w:r>
        <w:t>Verify credentials rotation frequency across all infrastructure, service accounts, RAM policies, and database connection strings.</w:t>
      </w:r>
    </w:p>
    <w:p>
      <w:r>
        <w:br w:type="page"/>
      </w:r>
    </w:p>
    <w:p>
      <w:pPr>
        <w:pStyle w:val="Heading1"/>
        <w:keepNext/>
        <w:spacing w:before="360" w:after="240"/>
      </w:pPr>
      <w:r>
        <w:t>5. Handover Records &amp; Historical Operations</w:t>
      </w:r>
    </w:p>
    <w:p>
      <w:r>
        <w:t>Because the original owner is unavailable, the team must reconstruct the operations history from logs, previous migration records (if any), and active cloud activity. Follow these instructions:</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24" w:space="0" w:color="2980B9"/>
              <w:top w:val="none"/>
              <w:right w:val="none"/>
              <w:bottom w:val="none"/>
            </w:tcBorders>
          </w:tcPr>
          <w:p>
            <w:pPr>
              <w:spacing w:before="120" w:after="120"/>
            </w:pPr>
            <w:r>
              <w:rPr>
                <w:b/>
                <w:color w:val="2980B9"/>
              </w:rPr>
              <w:t>IMPORTANT RECONSTRUCTION MANDATE:</w:t>
              <w:br/>
            </w:r>
            <w:r>
              <w:rPr>
                <w:i/>
                <w:sz w:val="19"/>
              </w:rPr>
              <w:t>Due to the absence of the key system architect, the takeover team must run a full Git history audit. Inspect all commits made during major releases or environment migrations. Look for files named 'release-notes', 'deploy.sh', or 'migration.sql' that may reside outside standard directories to piece together historical refactoring and infrastructure changes.</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980B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49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