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2B878">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第一章 引言</w:t>
      </w:r>
    </w:p>
    <w:p w14:paraId="6CADCF44">
      <w:pPr>
        <w:spacing w:line="360" w:lineRule="auto"/>
        <w:rPr>
          <w:rFonts w:hint="eastAsia" w:ascii="宋体" w:hAnsi="宋体" w:eastAsia="宋体" w:cs="宋体"/>
          <w:sz w:val="24"/>
          <w:szCs w:val="24"/>
        </w:rPr>
      </w:pPr>
      <w:r>
        <w:rPr>
          <w:rFonts w:hint="eastAsia" w:ascii="宋体" w:hAnsi="宋体" w:eastAsia="宋体" w:cs="宋体"/>
          <w:sz w:val="24"/>
          <w:szCs w:val="24"/>
        </w:rPr>
        <w:t>1.1 研究背景</w:t>
      </w:r>
    </w:p>
    <w:p w14:paraId="28B5ABC8">
      <w:pPr>
        <w:spacing w:line="360" w:lineRule="auto"/>
        <w:rPr>
          <w:rFonts w:hint="eastAsia" w:ascii="宋体" w:hAnsi="宋体" w:eastAsia="宋体" w:cs="宋体"/>
          <w:sz w:val="24"/>
          <w:szCs w:val="24"/>
        </w:rPr>
      </w:pPr>
      <w:r>
        <w:rPr>
          <w:rFonts w:hint="eastAsia" w:ascii="宋体" w:hAnsi="宋体" w:eastAsia="宋体" w:cs="宋体"/>
          <w:sz w:val="24"/>
          <w:szCs w:val="24"/>
        </w:rPr>
        <w:t>机器学习作为人工智能的核心分支，近年来呈现出爆发式的发展态势。自2010年以来，随着大数据技术的成熟、计算能力的指数级提升以及深度学习算法的突破，机器学习已从实验室研究走向大规模产业应用，成为推动数字经济和社会智能化转型的关键技术引擎。</w:t>
      </w:r>
    </w:p>
    <w:p w14:paraId="340B5705">
      <w:pPr>
        <w:spacing w:line="360" w:lineRule="auto"/>
      </w:pPr>
      <w:r>
        <w:drawing>
          <wp:inline distT="0" distB="0" distL="114300" distR="114300">
            <wp:extent cx="5098415" cy="3082925"/>
            <wp:effectExtent l="0" t="0" r="698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98415" cy="3082925"/>
                    </a:xfrm>
                    <a:prstGeom prst="rect">
                      <a:avLst/>
                    </a:prstGeom>
                    <a:noFill/>
                    <a:ln>
                      <a:noFill/>
                    </a:ln>
                  </pic:spPr>
                </pic:pic>
              </a:graphicData>
            </a:graphic>
          </wp:inline>
        </w:drawing>
      </w:r>
    </w:p>
    <w:p w14:paraId="73F1BDCE">
      <w:pPr>
        <w:pStyle w:val="2"/>
        <w:spacing w:line="360" w:lineRule="auto"/>
        <w:jc w:val="center"/>
        <w:rPr>
          <w:rFonts w:hint="eastAsia" w:eastAsiaTheme="minor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2010-2025年有关机器学习的年度发文情况</w:t>
      </w:r>
    </w:p>
    <w:p w14:paraId="67C8CCB3">
      <w:pPr>
        <w:spacing w:line="360" w:lineRule="auto"/>
        <w:rPr>
          <w:rFonts w:hint="eastAsia" w:ascii="宋体" w:hAnsi="宋体" w:eastAsia="宋体" w:cs="宋体"/>
          <w:sz w:val="24"/>
          <w:szCs w:val="24"/>
        </w:rPr>
      </w:pPr>
      <w:r>
        <w:rPr>
          <w:rFonts w:hint="eastAsia" w:ascii="宋体" w:hAnsi="宋体" w:eastAsia="宋体" w:cs="宋体"/>
          <w:sz w:val="24"/>
          <w:szCs w:val="24"/>
        </w:rPr>
        <w:t>从学术层面来看，机器学习领域的文献数量呈现指数级增长。以中国知网（CNKI）和Web of Science等数据库为例，以"machine learning"为关键词检索的学术论文从2010年的数千篇增长至202</w:t>
      </w:r>
      <w:r>
        <w:rPr>
          <w:rFonts w:hint="eastAsia" w:ascii="宋体" w:hAnsi="宋体" w:eastAsia="宋体" w:cs="宋体"/>
          <w:sz w:val="24"/>
          <w:szCs w:val="24"/>
          <w:lang w:val="en-US" w:eastAsia="zh-CN"/>
        </w:rPr>
        <w:t>5</w:t>
      </w:r>
      <w:r>
        <w:rPr>
          <w:rFonts w:hint="eastAsia" w:ascii="宋体" w:hAnsi="宋体" w:eastAsia="宋体" w:cs="宋体"/>
          <w:sz w:val="24"/>
          <w:szCs w:val="24"/>
        </w:rPr>
        <w:t>年的数万篇。这一增长趋势不仅反映了学术界对该领域的高度关注，也表明机器学习正在与越来越多的学科产生交叉融合，研究边界持续扩展。</w:t>
      </w:r>
    </w:p>
    <w:p w14:paraId="095B3CFC">
      <w:pPr>
        <w:spacing w:line="360" w:lineRule="auto"/>
        <w:rPr>
          <w:rFonts w:hint="eastAsia" w:ascii="宋体" w:hAnsi="宋体" w:eastAsia="宋体" w:cs="宋体"/>
          <w:sz w:val="24"/>
          <w:szCs w:val="24"/>
        </w:rPr>
      </w:pPr>
      <w:r>
        <w:rPr>
          <w:rFonts w:hint="eastAsia" w:ascii="宋体" w:hAnsi="宋体" w:eastAsia="宋体" w:cs="宋体"/>
          <w:sz w:val="24"/>
          <w:szCs w:val="24"/>
        </w:rPr>
        <w:t>在产业应用层面，机器学习技术已深度渗透到自然语言处理、计算机视觉、医疗诊断、金融风控、智能交通等众多领域。以ChatGPT、GPT-4等为代表的大语言模型的出现，更是将机器学习推向了新的发展高度，引发了全球范围内的技术竞赛和应用浪潮。</w:t>
      </w:r>
    </w:p>
    <w:p w14:paraId="5C1DAC9E">
      <w:pPr>
        <w:spacing w:line="360" w:lineRule="auto"/>
        <w:rPr>
          <w:rFonts w:hint="eastAsia" w:ascii="宋体" w:hAnsi="宋体" w:eastAsia="宋体" w:cs="宋体"/>
          <w:sz w:val="24"/>
          <w:szCs w:val="24"/>
        </w:rPr>
      </w:pPr>
      <w:r>
        <w:rPr>
          <w:rFonts w:hint="eastAsia" w:ascii="宋体" w:hAnsi="宋体" w:eastAsia="宋体" w:cs="宋体"/>
          <w:sz w:val="24"/>
          <w:szCs w:val="24"/>
        </w:rPr>
        <w:t>1.2 研究意义</w:t>
      </w:r>
    </w:p>
    <w:p w14:paraId="69CF9F71">
      <w:pPr>
        <w:spacing w:line="360" w:lineRule="auto"/>
        <w:rPr>
          <w:rFonts w:hint="eastAsia" w:ascii="宋体" w:hAnsi="宋体" w:eastAsia="宋体" w:cs="宋体"/>
          <w:sz w:val="24"/>
          <w:szCs w:val="24"/>
        </w:rPr>
      </w:pPr>
      <w:r>
        <w:rPr>
          <w:rFonts w:hint="eastAsia" w:ascii="宋体" w:hAnsi="宋体" w:eastAsia="宋体" w:cs="宋体"/>
          <w:sz w:val="24"/>
          <w:szCs w:val="24"/>
        </w:rPr>
        <w:t>1.2.1 理论意义</w:t>
      </w:r>
    </w:p>
    <w:p w14:paraId="013B13B4">
      <w:pPr>
        <w:spacing w:line="360" w:lineRule="auto"/>
        <w:rPr>
          <w:rFonts w:hint="eastAsia" w:ascii="宋体" w:hAnsi="宋体" w:eastAsia="宋体" w:cs="宋体"/>
          <w:sz w:val="24"/>
          <w:szCs w:val="24"/>
        </w:rPr>
      </w:pPr>
      <w:r>
        <w:rPr>
          <w:rFonts w:hint="eastAsia" w:ascii="宋体" w:hAnsi="宋体" w:eastAsia="宋体" w:cs="宋体"/>
          <w:sz w:val="24"/>
          <w:szCs w:val="24"/>
        </w:rPr>
        <w:t>面对机器学习领域海量的学术文献和快速迭代的技术方向，研究者迫切需要系统性的方法来把握研究热点、识别发展趋势。本研究通过文献计量学方法，对机器学习领域的学术论文进行定量分析，有助于：</w:t>
      </w:r>
    </w:p>
    <w:p w14:paraId="472C45C0">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识别该领域的核心研究主题和新兴热点</w:t>
      </w:r>
      <w:r>
        <w:rPr>
          <w:rFonts w:hint="eastAsia" w:ascii="宋体" w:hAnsi="宋体" w:eastAsia="宋体" w:cs="宋体"/>
          <w:sz w:val="24"/>
          <w:szCs w:val="24"/>
          <w:lang w:eastAsia="zh-CN"/>
        </w:rPr>
        <w:t>；</w:t>
      </w:r>
      <w:r>
        <w:rPr>
          <w:rFonts w:hint="eastAsia" w:ascii="宋体" w:hAnsi="宋体" w:eastAsia="宋体" w:cs="宋体"/>
          <w:sz w:val="24"/>
          <w:szCs w:val="24"/>
        </w:rPr>
        <w:t>揭示不同技术方向之间的关联性和演化路径</w:t>
      </w:r>
      <w:r>
        <w:rPr>
          <w:rFonts w:hint="eastAsia" w:ascii="宋体" w:hAnsi="宋体" w:eastAsia="宋体" w:cs="宋体"/>
          <w:sz w:val="24"/>
          <w:szCs w:val="24"/>
          <w:lang w:eastAsia="zh-CN"/>
        </w:rPr>
        <w:t>；</w:t>
      </w:r>
      <w:r>
        <w:rPr>
          <w:rFonts w:hint="eastAsia" w:ascii="宋体" w:hAnsi="宋体" w:eastAsia="宋体" w:cs="宋体"/>
          <w:sz w:val="24"/>
          <w:szCs w:val="24"/>
        </w:rPr>
        <w:t>为后续研究者提供清晰的领域知识图谱和研究切入点</w:t>
      </w:r>
      <w:r>
        <w:rPr>
          <w:rFonts w:hint="eastAsia" w:ascii="宋体" w:hAnsi="宋体" w:eastAsia="宋体" w:cs="宋体"/>
          <w:sz w:val="24"/>
          <w:szCs w:val="24"/>
          <w:lang w:eastAsia="zh-CN"/>
        </w:rPr>
        <w:t>。</w:t>
      </w:r>
    </w:p>
    <w:p w14:paraId="2E9D91CA">
      <w:pPr>
        <w:spacing w:line="360" w:lineRule="auto"/>
        <w:rPr>
          <w:rFonts w:hint="eastAsia" w:ascii="宋体" w:hAnsi="宋体" w:eastAsia="宋体" w:cs="宋体"/>
          <w:sz w:val="24"/>
          <w:szCs w:val="24"/>
        </w:rPr>
      </w:pPr>
      <w:r>
        <w:rPr>
          <w:rFonts w:hint="eastAsia" w:ascii="宋体" w:hAnsi="宋体" w:eastAsia="宋体" w:cs="宋体"/>
          <w:sz w:val="24"/>
          <w:szCs w:val="24"/>
        </w:rPr>
        <w:t>1.2.2 实践意义</w:t>
      </w:r>
    </w:p>
    <w:p w14:paraId="2C6319D2">
      <w:pPr>
        <w:spacing w:line="360" w:lineRule="auto"/>
        <w:rPr>
          <w:rFonts w:hint="eastAsia" w:ascii="宋体" w:hAnsi="宋体" w:eastAsia="宋体" w:cs="宋体"/>
          <w:sz w:val="24"/>
          <w:szCs w:val="24"/>
        </w:rPr>
      </w:pPr>
      <w:r>
        <w:rPr>
          <w:rFonts w:hint="eastAsia" w:ascii="宋体" w:hAnsi="宋体" w:eastAsia="宋体" w:cs="宋体"/>
          <w:sz w:val="24"/>
          <w:szCs w:val="24"/>
        </w:rPr>
        <w:t>本研究的实践价值主要体现在以下方面：</w:t>
      </w:r>
    </w:p>
    <w:p w14:paraId="332CB861">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指导研究方向：通过分析热点主题和趋势变化，为研究者和学生选择研究方向提供数据支撑</w:t>
      </w:r>
      <w:r>
        <w:rPr>
          <w:rFonts w:hint="eastAsia" w:ascii="宋体" w:hAnsi="宋体" w:eastAsia="宋体" w:cs="宋体"/>
          <w:sz w:val="24"/>
          <w:szCs w:val="24"/>
          <w:lang w:eastAsia="zh-CN"/>
        </w:rPr>
        <w:t>。</w:t>
      </w:r>
    </w:p>
    <w:p w14:paraId="0EED7857">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辅助科研决策：帮助科研机构和管理部门了解领域发展动态，优化资源配置</w:t>
      </w:r>
      <w:r>
        <w:rPr>
          <w:rFonts w:hint="eastAsia" w:ascii="宋体" w:hAnsi="宋体" w:eastAsia="宋体" w:cs="宋体"/>
          <w:sz w:val="24"/>
          <w:szCs w:val="24"/>
          <w:lang w:eastAsia="zh-CN"/>
        </w:rPr>
        <w:t>。</w:t>
      </w:r>
    </w:p>
    <w:p w14:paraId="1F829C7B">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促进跨学科合作：通过学科交叉分析，发现机器学习与其他领域的融合机会</w:t>
      </w:r>
      <w:r>
        <w:rPr>
          <w:rFonts w:hint="eastAsia" w:ascii="宋体" w:hAnsi="宋体" w:eastAsia="宋体" w:cs="宋体"/>
          <w:sz w:val="24"/>
          <w:szCs w:val="24"/>
          <w:lang w:eastAsia="zh-CN"/>
        </w:rPr>
        <w:t>。</w:t>
      </w:r>
    </w:p>
    <w:p w14:paraId="1EDD862C">
      <w:pPr>
        <w:spacing w:line="360" w:lineRule="auto"/>
        <w:rPr>
          <w:rFonts w:hint="eastAsia" w:ascii="宋体" w:hAnsi="宋体" w:eastAsia="宋体" w:cs="宋体"/>
          <w:sz w:val="24"/>
          <w:szCs w:val="24"/>
        </w:rPr>
      </w:pPr>
      <w:r>
        <w:rPr>
          <w:rFonts w:hint="eastAsia" w:ascii="宋体" w:hAnsi="宋体" w:eastAsia="宋体" w:cs="宋体"/>
          <w:sz w:val="24"/>
          <w:szCs w:val="24"/>
        </w:rPr>
        <w:t>1.2.3 方法论意义</w:t>
      </w:r>
    </w:p>
    <w:p w14:paraId="22A38603">
      <w:pPr>
        <w:spacing w:line="360" w:lineRule="auto"/>
        <w:rPr>
          <w:rFonts w:hint="eastAsia" w:ascii="宋体" w:hAnsi="宋体" w:eastAsia="宋体" w:cs="宋体"/>
          <w:sz w:val="24"/>
          <w:szCs w:val="24"/>
        </w:rPr>
      </w:pPr>
      <w:r>
        <w:rPr>
          <w:rFonts w:hint="eastAsia" w:ascii="宋体" w:hAnsi="宋体" w:eastAsia="宋体" w:cs="宋体"/>
          <w:sz w:val="24"/>
          <w:szCs w:val="24"/>
        </w:rPr>
        <w:t>本研究采用文献计量学与可视化分析相结合的方法，展示了如何利用Python等工具对大规模学术数据进行系统分析。这一方法论不仅适用于机器学习领域，也可推广至其他快速发展的学科领域，具有较好的借鉴价值。</w:t>
      </w:r>
    </w:p>
    <w:p w14:paraId="17B083F6">
      <w:pPr>
        <w:spacing w:line="360" w:lineRule="auto"/>
        <w:rPr>
          <w:rFonts w:hint="eastAsia" w:ascii="宋体" w:hAnsi="宋体" w:eastAsia="宋体" w:cs="宋体"/>
          <w:sz w:val="24"/>
          <w:szCs w:val="24"/>
        </w:rPr>
      </w:pPr>
      <w:r>
        <w:rPr>
          <w:rFonts w:hint="eastAsia" w:ascii="宋体" w:hAnsi="宋体" w:eastAsia="宋体" w:cs="宋体"/>
          <w:sz w:val="24"/>
          <w:szCs w:val="24"/>
        </w:rPr>
        <w:t>1.3 国内外研究现状</w:t>
      </w:r>
    </w:p>
    <w:p w14:paraId="2518C051">
      <w:pPr>
        <w:spacing w:line="360" w:lineRule="auto"/>
        <w:rPr>
          <w:rFonts w:hint="eastAsia" w:ascii="宋体" w:hAnsi="宋体" w:eastAsia="宋体" w:cs="宋体"/>
          <w:sz w:val="24"/>
          <w:szCs w:val="24"/>
        </w:rPr>
      </w:pPr>
      <w:r>
        <w:rPr>
          <w:rFonts w:hint="eastAsia" w:ascii="宋体" w:hAnsi="宋体" w:eastAsia="宋体" w:cs="宋体"/>
          <w:sz w:val="24"/>
          <w:szCs w:val="24"/>
        </w:rPr>
        <w:t>本研究聚焦于"文献计量研究现状"，而非机器学习算法本身的研究现状。</w:t>
      </w:r>
    </w:p>
    <w:p w14:paraId="6F22F1A4">
      <w:pPr>
        <w:spacing w:line="360" w:lineRule="auto"/>
        <w:rPr>
          <w:rFonts w:hint="eastAsia" w:ascii="宋体" w:hAnsi="宋体" w:eastAsia="宋体" w:cs="宋体"/>
          <w:sz w:val="24"/>
          <w:szCs w:val="24"/>
        </w:rPr>
      </w:pPr>
      <w:r>
        <w:rPr>
          <w:rFonts w:hint="eastAsia" w:ascii="宋体" w:hAnsi="宋体" w:eastAsia="宋体" w:cs="宋体"/>
          <w:sz w:val="24"/>
          <w:szCs w:val="24"/>
        </w:rPr>
        <w:t>1.3.1 国外研究现状</w:t>
      </w:r>
    </w:p>
    <w:p w14:paraId="66B44C89">
      <w:pPr>
        <w:spacing w:line="360" w:lineRule="auto"/>
        <w:rPr>
          <w:rFonts w:hint="eastAsia" w:ascii="宋体" w:hAnsi="宋体" w:eastAsia="宋体" w:cs="宋体"/>
          <w:sz w:val="24"/>
          <w:szCs w:val="24"/>
        </w:rPr>
      </w:pPr>
      <w:r>
        <w:rPr>
          <w:rFonts w:hint="eastAsia" w:ascii="宋体" w:hAnsi="宋体" w:eastAsia="宋体" w:cs="宋体"/>
          <w:sz w:val="24"/>
          <w:szCs w:val="24"/>
        </w:rPr>
        <w:t>国外在文献计量和知识图谱可视化方面起步较早，研究较为成熟：</w:t>
      </w:r>
    </w:p>
    <w:p w14:paraId="1F18E61A">
      <w:pPr>
        <w:spacing w:line="360" w:lineRule="auto"/>
        <w:rPr>
          <w:rFonts w:hint="eastAsia" w:ascii="宋体" w:hAnsi="宋体" w:eastAsia="宋体" w:cs="宋体"/>
          <w:sz w:val="24"/>
          <w:szCs w:val="24"/>
        </w:rPr>
      </w:pPr>
      <w:r>
        <w:rPr>
          <w:rFonts w:hint="eastAsia" w:ascii="宋体" w:hAnsi="宋体" w:eastAsia="宋体" w:cs="宋体"/>
          <w:sz w:val="24"/>
          <w:szCs w:val="24"/>
        </w:rPr>
        <w:t>数据分析与可视化导向：国外学者倾向于使用CiteSpace、VOSviewer、Gephi等专业工具进行文献共被引分析、关键词聚类和知识图谱构建。例如，Chaomei Chen利用CiteSpace对深度学习领域进行可视化分析，识别了该领域的知识基础和研究前沿；</w:t>
      </w:r>
      <w:r>
        <w:rPr>
          <w:rFonts w:hint="eastAsia" w:ascii="宋体" w:hAnsi="宋体" w:eastAsia="宋体" w:cs="宋体"/>
          <w:sz w:val="24"/>
          <w:szCs w:val="24"/>
          <w:lang w:val="en-US" w:eastAsia="zh-CN"/>
        </w:rPr>
        <w:t xml:space="preserve">Tomas </w:t>
      </w:r>
      <w:r>
        <w:rPr>
          <w:rFonts w:hint="eastAsia" w:ascii="宋体" w:hAnsi="宋体" w:eastAsia="宋体" w:cs="宋体"/>
          <w:sz w:val="24"/>
          <w:szCs w:val="24"/>
        </w:rPr>
        <w:t>Mikolov</w:t>
      </w:r>
      <w:r>
        <w:rPr>
          <w:rFonts w:hint="eastAsia" w:ascii="宋体" w:hAnsi="宋体" w:eastAsia="宋体" w:cs="宋体"/>
          <w:sz w:val="24"/>
          <w:szCs w:val="24"/>
          <w:lang w:val="en-US" w:eastAsia="zh-CN"/>
        </w:rPr>
        <w:t>团队在2013年</w:t>
      </w:r>
      <w:r>
        <w:rPr>
          <w:rFonts w:hint="eastAsia" w:ascii="宋体" w:hAnsi="宋体" w:eastAsia="宋体" w:cs="宋体"/>
          <w:sz w:val="24"/>
          <w:szCs w:val="24"/>
        </w:rPr>
        <w:t>提出了Word2Vec模型，其后续也被广泛应用于文献文本挖掘。</w:t>
      </w:r>
    </w:p>
    <w:p w14:paraId="48E4905C">
      <w:pPr>
        <w:spacing w:line="360" w:lineRule="auto"/>
        <w:rPr>
          <w:rFonts w:hint="eastAsia" w:ascii="宋体" w:hAnsi="宋体" w:eastAsia="宋体" w:cs="宋体"/>
          <w:sz w:val="24"/>
          <w:szCs w:val="24"/>
        </w:rPr>
      </w:pPr>
      <w:r>
        <w:rPr>
          <w:rFonts w:hint="eastAsia" w:ascii="宋体" w:hAnsi="宋体" w:eastAsia="宋体" w:cs="宋体"/>
          <w:sz w:val="24"/>
          <w:szCs w:val="24"/>
        </w:rPr>
        <w:t>大规模数据挖掘：国外研究更注重利用大数据技术处理海量文献数据，结合自然语言处理技术进行自动化的主题提取和趋势预测。</w:t>
      </w:r>
    </w:p>
    <w:p w14:paraId="34B5684B">
      <w:pPr>
        <w:spacing w:line="360" w:lineRule="auto"/>
        <w:rPr>
          <w:rFonts w:hint="eastAsia" w:ascii="宋体" w:hAnsi="宋体" w:eastAsia="宋体" w:cs="宋体"/>
          <w:sz w:val="24"/>
          <w:szCs w:val="24"/>
        </w:rPr>
      </w:pPr>
      <w:r>
        <w:rPr>
          <w:rFonts w:hint="eastAsia" w:ascii="宋体" w:hAnsi="宋体" w:eastAsia="宋体" w:cs="宋体"/>
          <w:sz w:val="24"/>
          <w:szCs w:val="24"/>
        </w:rPr>
        <w:t>跨学科分析：国外文献计量研究常关注机器学习与其他学科的交叉融合，强调学科边界的模糊化趋势。</w:t>
      </w:r>
    </w:p>
    <w:p w14:paraId="7348EFD8">
      <w:pPr>
        <w:spacing w:line="360" w:lineRule="auto"/>
        <w:rPr>
          <w:rFonts w:hint="eastAsia" w:ascii="宋体" w:hAnsi="宋体" w:eastAsia="宋体" w:cs="宋体"/>
          <w:sz w:val="24"/>
          <w:szCs w:val="24"/>
        </w:rPr>
      </w:pPr>
      <w:r>
        <w:rPr>
          <w:rFonts w:hint="eastAsia" w:ascii="宋体" w:hAnsi="宋体" w:eastAsia="宋体" w:cs="宋体"/>
          <w:sz w:val="24"/>
          <w:szCs w:val="24"/>
        </w:rPr>
        <w:t>1.3.2 国内研究现状</w:t>
      </w:r>
    </w:p>
    <w:p w14:paraId="55761F38">
      <w:pPr>
        <w:spacing w:line="360" w:lineRule="auto"/>
        <w:rPr>
          <w:rFonts w:hint="eastAsia" w:ascii="宋体" w:hAnsi="宋体" w:eastAsia="宋体" w:cs="宋体"/>
          <w:sz w:val="24"/>
          <w:szCs w:val="24"/>
        </w:rPr>
      </w:pPr>
      <w:r>
        <w:rPr>
          <w:rFonts w:hint="eastAsia" w:ascii="宋体" w:hAnsi="宋体" w:eastAsia="宋体" w:cs="宋体"/>
          <w:sz w:val="24"/>
          <w:szCs w:val="24"/>
        </w:rPr>
        <w:t>国内在机器学习文献计量方面的研究呈现以下特点：</w:t>
      </w:r>
    </w:p>
    <w:p w14:paraId="5069BBD7">
      <w:pPr>
        <w:spacing w:line="360" w:lineRule="auto"/>
        <w:rPr>
          <w:rFonts w:hint="eastAsia" w:ascii="宋体" w:hAnsi="宋体" w:eastAsia="宋体" w:cs="宋体"/>
          <w:sz w:val="24"/>
          <w:szCs w:val="24"/>
        </w:rPr>
      </w:pPr>
      <w:r>
        <w:rPr>
          <w:rFonts w:hint="eastAsia" w:ascii="宋体" w:hAnsi="宋体" w:eastAsia="宋体" w:cs="宋体"/>
          <w:sz w:val="24"/>
          <w:szCs w:val="24"/>
        </w:rPr>
        <w:t>应用总结导向：国内学者更侧重于对机器学习在特定应用领域的研究现状进行总结性分析，偏重于内容综述而非方法论创新。</w:t>
      </w:r>
    </w:p>
    <w:p w14:paraId="3F920F29">
      <w:pPr>
        <w:spacing w:line="360" w:lineRule="auto"/>
        <w:rPr>
          <w:rFonts w:hint="eastAsia" w:ascii="宋体" w:hAnsi="宋体" w:eastAsia="宋体" w:cs="宋体"/>
          <w:sz w:val="24"/>
          <w:szCs w:val="24"/>
        </w:rPr>
      </w:pPr>
      <w:r>
        <w:rPr>
          <w:rFonts w:hint="eastAsia" w:ascii="宋体" w:hAnsi="宋体" w:eastAsia="宋体" w:cs="宋体"/>
          <w:sz w:val="24"/>
          <w:szCs w:val="24"/>
        </w:rPr>
        <w:t>中文文献为主：国内研究多以CNKI数据库中的中文文献为分析对象，关注国内研究机构的发文情况和合作网络。</w:t>
      </w:r>
    </w:p>
    <w:p w14:paraId="2ECB3105">
      <w:pPr>
        <w:spacing w:line="360" w:lineRule="auto"/>
        <w:rPr>
          <w:rFonts w:hint="eastAsia" w:ascii="宋体" w:hAnsi="宋体" w:eastAsia="宋体" w:cs="宋体"/>
          <w:sz w:val="24"/>
          <w:szCs w:val="24"/>
        </w:rPr>
      </w:pPr>
      <w:r>
        <w:rPr>
          <w:rFonts w:hint="eastAsia" w:ascii="宋体" w:hAnsi="宋体" w:eastAsia="宋体" w:cs="宋体"/>
          <w:sz w:val="24"/>
          <w:szCs w:val="24"/>
        </w:rPr>
        <w:t>可视化工具应用：近年来，国内学者也开始广泛使用Python进行文献数据的可视化分析，但在分析深度和系统性方面与国外研究仍存在一定差距。</w:t>
      </w:r>
    </w:p>
    <w:p w14:paraId="56B80C0D">
      <w:pPr>
        <w:spacing w:line="360" w:lineRule="auto"/>
        <w:rPr>
          <w:rFonts w:hint="eastAsia" w:ascii="宋体" w:hAnsi="宋体" w:eastAsia="宋体" w:cs="宋体"/>
          <w:sz w:val="24"/>
          <w:szCs w:val="24"/>
        </w:rPr>
      </w:pPr>
      <w:r>
        <w:rPr>
          <w:rFonts w:hint="eastAsia" w:ascii="宋体" w:hAnsi="宋体" w:eastAsia="宋体" w:cs="宋体"/>
          <w:sz w:val="24"/>
          <w:szCs w:val="24"/>
        </w:rPr>
        <w:t>1.3.3 现有研究的不足</w:t>
      </w:r>
    </w:p>
    <w:p w14:paraId="738FA68E">
      <w:pPr>
        <w:spacing w:line="360" w:lineRule="auto"/>
        <w:rPr>
          <w:rFonts w:hint="eastAsia" w:ascii="宋体" w:hAnsi="宋体" w:eastAsia="宋体" w:cs="宋体"/>
          <w:sz w:val="24"/>
          <w:szCs w:val="24"/>
        </w:rPr>
      </w:pPr>
      <w:r>
        <w:rPr>
          <w:rFonts w:hint="eastAsia" w:ascii="宋体" w:hAnsi="宋体" w:eastAsia="宋体" w:cs="宋体"/>
          <w:sz w:val="24"/>
          <w:szCs w:val="24"/>
        </w:rPr>
        <w:t>综合国内外现状，现有文献计量研究存在以下不足：</w:t>
      </w:r>
    </w:p>
    <w:p w14:paraId="55D05F2C">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多数研究仅关注单一数据库，缺乏中英文文献的对比分析</w:t>
      </w:r>
      <w:r>
        <w:rPr>
          <w:rFonts w:hint="eastAsia" w:ascii="宋体" w:hAnsi="宋体" w:eastAsia="宋体" w:cs="宋体"/>
          <w:sz w:val="24"/>
          <w:szCs w:val="24"/>
          <w:lang w:eastAsia="zh-CN"/>
        </w:rPr>
        <w:t>。</w:t>
      </w:r>
    </w:p>
    <w:p w14:paraId="65CE7B3A">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对研究热点的动态演化过程分析不够深入</w:t>
      </w:r>
      <w:r>
        <w:rPr>
          <w:rFonts w:hint="eastAsia" w:ascii="宋体" w:hAnsi="宋体" w:eastAsia="宋体" w:cs="宋体"/>
          <w:sz w:val="24"/>
          <w:szCs w:val="24"/>
          <w:lang w:eastAsia="zh-CN"/>
        </w:rPr>
        <w:t>。</w:t>
      </w:r>
    </w:p>
    <w:p w14:paraId="0187E5F0">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较少结合机器学习方法对文献数据进行预测分析</w:t>
      </w:r>
      <w:r>
        <w:rPr>
          <w:rFonts w:hint="eastAsia" w:ascii="宋体" w:hAnsi="宋体" w:eastAsia="宋体" w:cs="宋体"/>
          <w:sz w:val="24"/>
          <w:szCs w:val="24"/>
          <w:lang w:eastAsia="zh-CN"/>
        </w:rPr>
        <w:t>。</w:t>
      </w:r>
    </w:p>
    <w:p w14:paraId="5CF5550E">
      <w:pPr>
        <w:spacing w:line="360" w:lineRule="auto"/>
        <w:rPr>
          <w:rFonts w:hint="default" w:ascii="宋体" w:hAnsi="宋体" w:eastAsia="宋体" w:cs="宋体"/>
          <w:color w:val="E54C5E" w:themeColor="accent6"/>
          <w:sz w:val="24"/>
          <w:szCs w:val="24"/>
          <w:lang w:val="en-US" w:eastAsia="zh-CN"/>
          <w14:textFill>
            <w14:solidFill>
              <w14:schemeClr w14:val="accent6"/>
            </w14:solidFill>
          </w14:textFill>
        </w:rPr>
      </w:pPr>
      <w:r>
        <w:rPr>
          <w:rFonts w:hint="eastAsia" w:ascii="宋体" w:hAnsi="宋体" w:eastAsia="宋体" w:cs="宋体"/>
          <w:color w:val="0000FF"/>
          <w:sz w:val="24"/>
          <w:szCs w:val="24"/>
        </w:rPr>
        <w:t>1.4 研究内容与方法</w:t>
      </w:r>
      <w:r>
        <w:rPr>
          <w:rFonts w:hint="eastAsia" w:ascii="宋体" w:hAnsi="宋体" w:eastAsia="宋体" w:cs="宋体"/>
          <w:color w:val="E54C5E" w:themeColor="accent6"/>
          <w:sz w:val="24"/>
          <w:szCs w:val="24"/>
          <w:lang w:eastAsia="zh-CN"/>
          <w14:textFill>
            <w14:solidFill>
              <w14:schemeClr w14:val="accent6"/>
            </w14:solidFill>
          </w14:textFill>
        </w:rPr>
        <w:t>“</w:t>
      </w:r>
      <w:r>
        <w:rPr>
          <w:rFonts w:hint="eastAsia" w:ascii="宋体" w:hAnsi="宋体" w:eastAsia="宋体" w:cs="宋体"/>
          <w:color w:val="E54C5E" w:themeColor="accent6"/>
          <w:sz w:val="24"/>
          <w:szCs w:val="24"/>
          <w:lang w:val="en-US" w:eastAsia="zh-CN"/>
          <w14:textFill>
            <w14:solidFill>
              <w14:schemeClr w14:val="accent6"/>
            </w14:solidFill>
          </w14:textFill>
        </w:rPr>
        <w:t>根据实际情况更改”</w:t>
      </w:r>
    </w:p>
    <w:p w14:paraId="1469FAA7">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1.4.1 数据来源</w:t>
      </w:r>
    </w:p>
    <w:p w14:paraId="03CEE596">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本研究选取以下数据库作为数据来源：</w:t>
      </w:r>
    </w:p>
    <w:p w14:paraId="2C893665">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中国知网（CNKI）：获取中文期刊论文和学位论文，反映国内研究现状</w:t>
      </w:r>
    </w:p>
    <w:p w14:paraId="256AA5EE">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Web of Science（WoS）核心合集：获取高质量英文期刊论文，反映国际研究前沿</w:t>
      </w:r>
    </w:p>
    <w:p w14:paraId="06F2852E">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Google Scholar：作为补充数据源，获取会议论文和预印本论文</w:t>
      </w:r>
    </w:p>
    <w:p w14:paraId="0AA34144">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1.4.2 检索策略</w:t>
      </w:r>
    </w:p>
    <w:p w14:paraId="4466C324">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检索关键词："machine learning"、"机器学习"</w:t>
      </w:r>
    </w:p>
    <w:p w14:paraId="5A584EDF">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时间范围：2010年—2026年</w:t>
      </w:r>
    </w:p>
    <w:p w14:paraId="12FC8E27">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文献类型：期刊论文、会议论文</w:t>
      </w:r>
    </w:p>
    <w:p w14:paraId="1D500D7D">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检索字段：标题、摘要、关键词</w:t>
      </w:r>
    </w:p>
    <w:p w14:paraId="01BB6814">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1.4.3 分析方法</w:t>
      </w:r>
    </w:p>
    <w:p w14:paraId="107B7E6A">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本研究采用以下分析方法：</w:t>
      </w:r>
    </w:p>
    <w:p w14:paraId="797EFA42">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统计分析：利用Python对文献数量、发文机构、关键词频次等进行描述性统计</w:t>
      </w:r>
    </w:p>
    <w:p w14:paraId="5FB2AF76">
      <w:pPr>
        <w:spacing w:line="360" w:lineRule="auto"/>
        <w:rPr>
          <w:rFonts w:hint="eastAsia" w:ascii="宋体" w:hAnsi="宋体" w:eastAsia="宋体" w:cs="宋体"/>
          <w:color w:val="E54C5E" w:themeColor="accent6"/>
          <w:sz w:val="24"/>
          <w:szCs w:val="24"/>
          <w:lang w:eastAsia="zh-CN"/>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可视化分析：利用Matplotlib、WordCloud、Seaborn等库生成词云图、趋势折线图、热力图等</w:t>
      </w:r>
      <w:r>
        <w:rPr>
          <w:rFonts w:hint="eastAsia" w:ascii="宋体" w:hAnsi="宋体" w:eastAsia="宋体" w:cs="宋体"/>
          <w:color w:val="E54C5E" w:themeColor="accent6"/>
          <w:sz w:val="24"/>
          <w:szCs w:val="24"/>
          <w:lang w:eastAsia="zh-CN"/>
          <w14:textFill>
            <w14:solidFill>
              <w14:schemeClr w14:val="accent6"/>
            </w14:solidFill>
          </w14:textFill>
        </w:rPr>
        <w:t>。</w:t>
      </w:r>
    </w:p>
    <w:p w14:paraId="52F10DCA">
      <w:pPr>
        <w:spacing w:line="360" w:lineRule="auto"/>
        <w:rPr>
          <w:rFonts w:hint="eastAsia" w:ascii="宋体" w:hAnsi="宋体" w:eastAsia="宋体" w:cs="宋体"/>
          <w:color w:val="E54C5E" w:themeColor="accent6"/>
          <w:sz w:val="24"/>
          <w:szCs w:val="24"/>
          <w:lang w:eastAsia="zh-CN"/>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趋势预测：利用时间序列分析方法对发文量进行短期预测</w:t>
      </w:r>
      <w:r>
        <w:rPr>
          <w:rFonts w:hint="eastAsia" w:ascii="宋体" w:hAnsi="宋体" w:eastAsia="宋体" w:cs="宋体"/>
          <w:color w:val="E54C5E" w:themeColor="accent6"/>
          <w:sz w:val="24"/>
          <w:szCs w:val="24"/>
          <w:lang w:eastAsia="zh-CN"/>
          <w14:textFill>
            <w14:solidFill>
              <w14:schemeClr w14:val="accent6"/>
            </w14:solidFill>
          </w14:textFill>
        </w:rPr>
        <w:t>。</w:t>
      </w:r>
    </w:p>
    <w:p w14:paraId="366E2605">
      <w:pPr>
        <w:spacing w:line="360" w:lineRule="auto"/>
        <w:rPr>
          <w:rFonts w:hint="eastAsia" w:ascii="宋体" w:hAnsi="宋体" w:eastAsia="宋体" w:cs="宋体"/>
          <w:color w:val="E54C5E" w:themeColor="accent6"/>
          <w:sz w:val="24"/>
          <w:szCs w:val="24"/>
          <w:lang w:eastAsia="zh-CN"/>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关键词共现分析：利用NetworkX构建关键词共现网络，识别研究主题的关联结构</w:t>
      </w:r>
      <w:r>
        <w:rPr>
          <w:rFonts w:hint="eastAsia" w:ascii="宋体" w:hAnsi="宋体" w:eastAsia="宋体" w:cs="宋体"/>
          <w:color w:val="E54C5E" w:themeColor="accent6"/>
          <w:sz w:val="24"/>
          <w:szCs w:val="24"/>
          <w:lang w:eastAsia="zh-CN"/>
          <w14:textFill>
            <w14:solidFill>
              <w14:schemeClr w14:val="accent6"/>
            </w14:solidFill>
          </w14:textFill>
        </w:rPr>
        <w:t>。</w:t>
      </w:r>
    </w:p>
    <w:p w14:paraId="50AF462A">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1.4.4 技术工具</w:t>
      </w:r>
    </w:p>
    <w:p w14:paraId="4A4ED02F">
      <w:pPr>
        <w:spacing w:line="360" w:lineRule="auto"/>
        <w:rPr>
          <w:rFonts w:hint="eastAsia" w:ascii="宋体" w:hAnsi="宋体" w:eastAsia="宋体" w:cs="宋体"/>
          <w:color w:val="E54C5E" w:themeColor="accent6"/>
          <w:sz w:val="24"/>
          <w:szCs w:val="24"/>
          <w:lang w:eastAsia="zh-CN"/>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Python 3.x：主要分析工具，用于数据爬取、清洗、统计分析和可视化</w:t>
      </w:r>
      <w:r>
        <w:rPr>
          <w:rFonts w:hint="eastAsia" w:ascii="宋体" w:hAnsi="宋体" w:eastAsia="宋体" w:cs="宋体"/>
          <w:color w:val="E54C5E" w:themeColor="accent6"/>
          <w:sz w:val="24"/>
          <w:szCs w:val="24"/>
          <w:lang w:eastAsia="zh-CN"/>
          <w14:textFill>
            <w14:solidFill>
              <w14:schemeClr w14:val="accent6"/>
            </w14:solidFill>
          </w14:textFill>
        </w:rPr>
        <w:t>。</w:t>
      </w:r>
    </w:p>
    <w:p w14:paraId="42B224FE">
      <w:pPr>
        <w:spacing w:line="360" w:lineRule="auto"/>
        <w:rPr>
          <w:rFonts w:hint="eastAsia" w:ascii="宋体" w:hAnsi="宋体" w:eastAsia="宋体" w:cs="宋体"/>
          <w:color w:val="E54C5E" w:themeColor="accent6"/>
          <w:sz w:val="24"/>
          <w:szCs w:val="24"/>
          <w:lang w:eastAsia="zh-CN"/>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Excel：用于数据预处理和初步整理</w:t>
      </w:r>
      <w:r>
        <w:rPr>
          <w:rFonts w:hint="eastAsia" w:ascii="宋体" w:hAnsi="宋体" w:eastAsia="宋体" w:cs="宋体"/>
          <w:color w:val="E54C5E" w:themeColor="accent6"/>
          <w:sz w:val="24"/>
          <w:szCs w:val="24"/>
          <w:lang w:eastAsia="zh-CN"/>
          <w14:textFill>
            <w14:solidFill>
              <w14:schemeClr w14:val="accent6"/>
            </w14:solidFill>
          </w14:textFill>
        </w:rPr>
        <w:t>。</w:t>
      </w:r>
    </w:p>
    <w:p w14:paraId="6FDBBAE2">
      <w:pPr>
        <w:spacing w:line="360" w:lineRule="auto"/>
        <w:rPr>
          <w:rFonts w:hint="eastAsia" w:ascii="宋体" w:hAnsi="宋体" w:eastAsia="宋体" w:cs="宋体"/>
          <w:color w:val="E54C5E" w:themeColor="accent6"/>
          <w:sz w:val="24"/>
          <w:szCs w:val="24"/>
          <w:lang w:eastAsia="zh-CN"/>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Jupyter Notebook：用于交互式数据探索和结果展示</w:t>
      </w:r>
      <w:r>
        <w:rPr>
          <w:rFonts w:hint="eastAsia" w:ascii="宋体" w:hAnsi="宋体" w:eastAsia="宋体" w:cs="宋体"/>
          <w:color w:val="E54C5E" w:themeColor="accent6"/>
          <w:sz w:val="24"/>
          <w:szCs w:val="24"/>
          <w:lang w:eastAsia="zh-CN"/>
          <w14:textFill>
            <w14:solidFill>
              <w14:schemeClr w14:val="accent6"/>
            </w14:solidFill>
          </w14:textFill>
        </w:rPr>
        <w:t>。</w:t>
      </w:r>
    </w:p>
    <w:p w14:paraId="35313D0E">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1.4.5 研究框架</w:t>
      </w:r>
    </w:p>
    <w:p w14:paraId="686934E6">
      <w:pPr>
        <w:spacing w:line="360" w:lineRule="auto"/>
        <w:rPr>
          <w:rFonts w:hint="eastAsia" w:ascii="宋体" w:hAnsi="宋体" w:eastAsia="宋体" w:cs="宋体"/>
          <w:color w:val="E54C5E" w:themeColor="accent6"/>
          <w:sz w:val="24"/>
          <w:szCs w:val="24"/>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本研究的技术路线如下：</w:t>
      </w:r>
    </w:p>
    <w:p w14:paraId="7FC32FF5">
      <w:pPr>
        <w:spacing w:line="360" w:lineRule="auto"/>
        <w:rPr>
          <w:rFonts w:hint="eastAsia" w:ascii="宋体" w:hAnsi="宋体" w:eastAsia="宋体" w:cs="宋体"/>
          <w:color w:val="E54C5E" w:themeColor="accent6"/>
          <w:sz w:val="24"/>
          <w:szCs w:val="24"/>
          <w:lang w:eastAsia="zh-CN"/>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数据获取：从多个数据库检索并下载文献元数据</w:t>
      </w:r>
      <w:r>
        <w:rPr>
          <w:rFonts w:hint="eastAsia" w:ascii="宋体" w:hAnsi="宋体" w:eastAsia="宋体" w:cs="宋体"/>
          <w:color w:val="E54C5E" w:themeColor="accent6"/>
          <w:sz w:val="24"/>
          <w:szCs w:val="24"/>
          <w:lang w:eastAsia="zh-CN"/>
          <w14:textFill>
            <w14:solidFill>
              <w14:schemeClr w14:val="accent6"/>
            </w14:solidFill>
          </w14:textFill>
        </w:rPr>
        <w:t>。</w:t>
      </w:r>
    </w:p>
    <w:p w14:paraId="179AD9D5">
      <w:pPr>
        <w:spacing w:line="360" w:lineRule="auto"/>
        <w:rPr>
          <w:rFonts w:hint="eastAsia" w:ascii="宋体" w:hAnsi="宋体" w:eastAsia="宋体" w:cs="宋体"/>
          <w:color w:val="E54C5E" w:themeColor="accent6"/>
          <w:sz w:val="24"/>
          <w:szCs w:val="24"/>
          <w:lang w:eastAsia="zh-CN"/>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数据清洗：去重、格式统一、关键词规范化处理</w:t>
      </w:r>
      <w:r>
        <w:rPr>
          <w:rFonts w:hint="eastAsia" w:ascii="宋体" w:hAnsi="宋体" w:eastAsia="宋体" w:cs="宋体"/>
          <w:color w:val="E54C5E" w:themeColor="accent6"/>
          <w:sz w:val="24"/>
          <w:szCs w:val="24"/>
          <w:lang w:eastAsia="zh-CN"/>
          <w14:textFill>
            <w14:solidFill>
              <w14:schemeClr w14:val="accent6"/>
            </w14:solidFill>
          </w14:textFill>
        </w:rPr>
        <w:t>。</w:t>
      </w:r>
    </w:p>
    <w:p w14:paraId="521E1E4E">
      <w:pPr>
        <w:spacing w:line="360" w:lineRule="auto"/>
        <w:rPr>
          <w:rFonts w:hint="eastAsia" w:ascii="宋体" w:hAnsi="宋体" w:eastAsia="宋体" w:cs="宋体"/>
          <w:color w:val="E54C5E" w:themeColor="accent6"/>
          <w:sz w:val="24"/>
          <w:szCs w:val="24"/>
          <w:lang w:eastAsia="zh-CN"/>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描述性统计：年度发文量、高产机构、高被引论文分析</w:t>
      </w:r>
      <w:r>
        <w:rPr>
          <w:rFonts w:hint="eastAsia" w:ascii="宋体" w:hAnsi="宋体" w:eastAsia="宋体" w:cs="宋体"/>
          <w:color w:val="E54C5E" w:themeColor="accent6"/>
          <w:sz w:val="24"/>
          <w:szCs w:val="24"/>
          <w:lang w:eastAsia="zh-CN"/>
          <w14:textFill>
            <w14:solidFill>
              <w14:schemeClr w14:val="accent6"/>
            </w14:solidFill>
          </w14:textFill>
        </w:rPr>
        <w:t>。</w:t>
      </w:r>
    </w:p>
    <w:p w14:paraId="4949A6D8">
      <w:pPr>
        <w:spacing w:line="360" w:lineRule="auto"/>
        <w:rPr>
          <w:rFonts w:hint="eastAsia" w:ascii="宋体" w:hAnsi="宋体" w:eastAsia="宋体" w:cs="宋体"/>
          <w:color w:val="E54C5E" w:themeColor="accent6"/>
          <w:sz w:val="24"/>
          <w:szCs w:val="24"/>
          <w:lang w:eastAsia="zh-CN"/>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热点分析：关键词频次统计、词云可视化、学科交叉分析</w:t>
      </w:r>
      <w:r>
        <w:rPr>
          <w:rFonts w:hint="eastAsia" w:ascii="宋体" w:hAnsi="宋体" w:eastAsia="宋体" w:cs="宋体"/>
          <w:color w:val="E54C5E" w:themeColor="accent6"/>
          <w:sz w:val="24"/>
          <w:szCs w:val="24"/>
          <w:lang w:eastAsia="zh-CN"/>
          <w14:textFill>
            <w14:solidFill>
              <w14:schemeClr w14:val="accent6"/>
            </w14:solidFill>
          </w14:textFill>
        </w:rPr>
        <w:t>。</w:t>
      </w:r>
    </w:p>
    <w:p w14:paraId="4C0FD462">
      <w:pPr>
        <w:spacing w:line="360" w:lineRule="auto"/>
        <w:rPr>
          <w:rFonts w:hint="eastAsia" w:ascii="宋体" w:hAnsi="宋体" w:eastAsia="宋体" w:cs="宋体"/>
          <w:color w:val="E54C5E" w:themeColor="accent6"/>
          <w:sz w:val="24"/>
          <w:szCs w:val="24"/>
          <w:lang w:eastAsia="zh-CN"/>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趋势分析：技术演化路径梳理、未来趋势预测</w:t>
      </w:r>
      <w:r>
        <w:rPr>
          <w:rFonts w:hint="eastAsia" w:ascii="宋体" w:hAnsi="宋体" w:eastAsia="宋体" w:cs="宋体"/>
          <w:color w:val="E54C5E" w:themeColor="accent6"/>
          <w:sz w:val="24"/>
          <w:szCs w:val="24"/>
          <w:lang w:eastAsia="zh-CN"/>
          <w14:textFill>
            <w14:solidFill>
              <w14:schemeClr w14:val="accent6"/>
            </w14:solidFill>
          </w14:textFill>
        </w:rPr>
        <w:t>。</w:t>
      </w:r>
    </w:p>
    <w:p w14:paraId="452362D2">
      <w:pPr>
        <w:spacing w:line="360" w:lineRule="auto"/>
        <w:rPr>
          <w:rFonts w:hint="eastAsia" w:ascii="宋体" w:hAnsi="宋体" w:eastAsia="宋体" w:cs="宋体"/>
          <w:color w:val="E54C5E" w:themeColor="accent6"/>
          <w:sz w:val="24"/>
          <w:szCs w:val="24"/>
          <w:lang w:eastAsia="zh-CN"/>
          <w14:textFill>
            <w14:solidFill>
              <w14:schemeClr w14:val="accent6"/>
            </w14:solidFill>
          </w14:textFill>
        </w:rPr>
      </w:pPr>
      <w:r>
        <w:rPr>
          <w:rFonts w:hint="eastAsia" w:ascii="宋体" w:hAnsi="宋体" w:eastAsia="宋体" w:cs="宋体"/>
          <w:color w:val="E54C5E" w:themeColor="accent6"/>
          <w:sz w:val="24"/>
          <w:szCs w:val="24"/>
          <w14:textFill>
            <w14:solidFill>
              <w14:schemeClr w14:val="accent6"/>
            </w14:solidFill>
          </w14:textFill>
        </w:rPr>
        <w:t>结论总结：归纳研究热点、趋势特征及存在问题</w:t>
      </w:r>
      <w:r>
        <w:rPr>
          <w:rFonts w:hint="eastAsia" w:ascii="宋体" w:hAnsi="宋体" w:eastAsia="宋体" w:cs="宋体"/>
          <w:color w:val="E54C5E" w:themeColor="accent6"/>
          <w:sz w:val="24"/>
          <w:szCs w:val="24"/>
          <w:lang w:eastAsia="zh-CN"/>
          <w14:textFill>
            <w14:solidFill>
              <w14:schemeClr w14:val="accent6"/>
            </w14:solidFill>
          </w14:textFill>
        </w:rPr>
        <w:t>。</w:t>
      </w:r>
    </w:p>
    <w:p w14:paraId="5930D50A">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第五章 发展趋势分析</w:t>
      </w:r>
    </w:p>
    <w:p w14:paraId="01C8748B">
      <w:pPr>
        <w:spacing w:line="360" w:lineRule="auto"/>
        <w:rPr>
          <w:rFonts w:hint="eastAsia" w:ascii="宋体" w:hAnsi="宋体" w:eastAsia="宋体" w:cs="宋体"/>
          <w:sz w:val="24"/>
          <w:szCs w:val="24"/>
        </w:rPr>
      </w:pPr>
      <w:r>
        <w:rPr>
          <w:rFonts w:hint="eastAsia" w:ascii="宋体" w:hAnsi="宋体" w:eastAsia="宋体" w:cs="宋体"/>
          <w:sz w:val="24"/>
          <w:szCs w:val="24"/>
        </w:rPr>
        <w:t>5.1 技术发展趋势</w:t>
      </w:r>
    </w:p>
    <w:p w14:paraId="036EEFF8">
      <w:pPr>
        <w:spacing w:line="360" w:lineRule="auto"/>
        <w:rPr>
          <w:rFonts w:hint="eastAsia" w:ascii="宋体" w:hAnsi="宋体" w:eastAsia="宋体" w:cs="宋体"/>
          <w:sz w:val="24"/>
          <w:szCs w:val="24"/>
        </w:rPr>
      </w:pPr>
      <w:r>
        <w:rPr>
          <w:rFonts w:hint="eastAsia" w:ascii="宋体" w:hAnsi="宋体" w:eastAsia="宋体" w:cs="宋体"/>
          <w:sz w:val="24"/>
          <w:szCs w:val="24"/>
        </w:rPr>
        <w:t>通过对2010—2026年机器学习领域文献的系统分析，可以清晰地识别出该领域技术演化的主要脉络：</w:t>
      </w:r>
    </w:p>
    <w:p w14:paraId="4812EE38">
      <w:pPr>
        <w:spacing w:line="360" w:lineRule="auto"/>
        <w:rPr>
          <w:rFonts w:hint="eastAsia" w:ascii="宋体" w:hAnsi="宋体" w:eastAsia="宋体" w:cs="宋体"/>
          <w:sz w:val="24"/>
          <w:szCs w:val="24"/>
        </w:rPr>
      </w:pPr>
      <w:r>
        <w:rPr>
          <w:rFonts w:hint="eastAsia" w:ascii="宋体" w:hAnsi="宋体" w:eastAsia="宋体" w:cs="宋体"/>
          <w:sz w:val="24"/>
          <w:szCs w:val="24"/>
        </w:rPr>
        <w:t>5.1.1 从传统机器学习到深度学习的范式转变（2010—2015年）</w:t>
      </w:r>
    </w:p>
    <w:p w14:paraId="4C5FC047">
      <w:pPr>
        <w:spacing w:line="360" w:lineRule="auto"/>
        <w:rPr>
          <w:rFonts w:hint="eastAsia" w:ascii="宋体" w:hAnsi="宋体" w:eastAsia="宋体" w:cs="宋体"/>
          <w:sz w:val="24"/>
          <w:szCs w:val="24"/>
        </w:rPr>
      </w:pPr>
      <w:r>
        <w:rPr>
          <w:rFonts w:hint="eastAsia" w:ascii="宋体" w:hAnsi="宋体" w:eastAsia="宋体" w:cs="宋体"/>
          <w:sz w:val="24"/>
          <w:szCs w:val="24"/>
        </w:rPr>
        <w:t>2010年至2015年期间，机器学习领域经历了从传统算法向深度学习的重大范式转变：</w:t>
      </w:r>
    </w:p>
    <w:p w14:paraId="1AF71BDF">
      <w:pPr>
        <w:spacing w:line="360" w:lineRule="auto"/>
        <w:rPr>
          <w:rFonts w:hint="eastAsia" w:ascii="宋体" w:hAnsi="宋体" w:eastAsia="宋体" w:cs="宋体"/>
          <w:sz w:val="24"/>
          <w:szCs w:val="24"/>
        </w:rPr>
      </w:pPr>
      <w:r>
        <w:rPr>
          <w:rFonts w:hint="eastAsia" w:ascii="宋体" w:hAnsi="宋体" w:eastAsia="宋体" w:cs="宋体"/>
          <w:sz w:val="24"/>
          <w:szCs w:val="24"/>
        </w:rPr>
        <w:t>早期主导技术：支持向量机、决策树、随机森林、朴素贝叶斯等传统机器学习方法在文献中占据主导地位。这一时期的研究重点在于特征工程、模型优化和集成学习方法的改进。</w:t>
      </w:r>
    </w:p>
    <w:p w14:paraId="10E608FB">
      <w:pPr>
        <w:spacing w:line="360" w:lineRule="auto"/>
        <w:rPr>
          <w:rFonts w:hint="eastAsia" w:ascii="宋体" w:hAnsi="宋体" w:eastAsia="宋体" w:cs="宋体"/>
          <w:sz w:val="24"/>
          <w:szCs w:val="24"/>
        </w:rPr>
      </w:pPr>
      <w:r>
        <w:rPr>
          <w:rFonts w:hint="eastAsia" w:ascii="宋体" w:hAnsi="宋体" w:eastAsia="宋体" w:cs="宋体"/>
          <w:sz w:val="24"/>
          <w:szCs w:val="24"/>
        </w:rPr>
        <w:t>深度学习崛起：2012年，Krizhevsky等提出的AlexNet在ImageNet图像识别竞赛中取得突破性成绩，标志着深度学习时代的到来。此后，卷积神经网络、循环神经网络等深度学习模型在文献中的占比迅速上升。</w:t>
      </w:r>
    </w:p>
    <w:p w14:paraId="2CC24EF5">
      <w:pPr>
        <w:spacing w:line="360" w:lineRule="auto"/>
        <w:rPr>
          <w:rFonts w:hint="eastAsia" w:ascii="宋体" w:hAnsi="宋体" w:eastAsia="宋体" w:cs="宋体"/>
          <w:sz w:val="24"/>
          <w:szCs w:val="24"/>
        </w:rPr>
      </w:pPr>
      <w:r>
        <w:rPr>
          <w:rFonts w:hint="eastAsia" w:ascii="宋体" w:hAnsi="宋体" w:eastAsia="宋体" w:cs="宋体"/>
          <w:sz w:val="24"/>
          <w:szCs w:val="24"/>
        </w:rPr>
        <w:t>关键技术节点：2014年生成对抗网络的提出、2015年残差网络的出现，进一步推动了深度学习在计算机视觉领域的应用爆发。</w:t>
      </w:r>
    </w:p>
    <w:p w14:paraId="4288069E">
      <w:pPr>
        <w:spacing w:line="360" w:lineRule="auto"/>
        <w:rPr>
          <w:rFonts w:hint="eastAsia" w:ascii="宋体" w:hAnsi="宋体" w:eastAsia="宋体" w:cs="宋体"/>
          <w:sz w:val="24"/>
          <w:szCs w:val="24"/>
        </w:rPr>
      </w:pPr>
      <w:r>
        <w:rPr>
          <w:rFonts w:hint="eastAsia" w:ascii="宋体" w:hAnsi="宋体" w:eastAsia="宋体" w:cs="宋体"/>
          <w:sz w:val="24"/>
          <w:szCs w:val="24"/>
        </w:rPr>
        <w:t>5.1.2 从深度学习到Transformer架构的演进（2016—2020年）</w:t>
      </w:r>
    </w:p>
    <w:p w14:paraId="00408D62">
      <w:pPr>
        <w:spacing w:line="360" w:lineRule="auto"/>
        <w:rPr>
          <w:rFonts w:hint="eastAsia" w:ascii="宋体" w:hAnsi="宋体" w:eastAsia="宋体" w:cs="宋体"/>
          <w:sz w:val="24"/>
          <w:szCs w:val="24"/>
        </w:rPr>
      </w:pPr>
      <w:r>
        <w:rPr>
          <w:rFonts w:hint="eastAsia" w:ascii="宋体" w:hAnsi="宋体" w:eastAsia="宋体" w:cs="宋体"/>
          <w:sz w:val="24"/>
          <w:szCs w:val="24"/>
        </w:rPr>
        <w:t>2016年至2020年，Transformer架构的出现彻底改变了自然语言处理领域的研究格局：</w:t>
      </w:r>
    </w:p>
    <w:p w14:paraId="19A47518">
      <w:pPr>
        <w:spacing w:line="360" w:lineRule="auto"/>
        <w:rPr>
          <w:rFonts w:hint="eastAsia" w:ascii="宋体" w:hAnsi="宋体" w:eastAsia="宋体" w:cs="宋体"/>
          <w:sz w:val="24"/>
          <w:szCs w:val="24"/>
        </w:rPr>
      </w:pPr>
      <w:r>
        <w:rPr>
          <w:rFonts w:hint="eastAsia" w:ascii="宋体" w:hAnsi="宋体" w:eastAsia="宋体" w:cs="宋体"/>
          <w:sz w:val="24"/>
          <w:szCs w:val="24"/>
        </w:rPr>
        <w:t>Transformer革命：2017年Vaswani等提出的Transformer架构，通过自注意力机制解决了RNN序列建模的瓶颈，成为后续大语言模型的基础架构。</w:t>
      </w:r>
    </w:p>
    <w:p w14:paraId="40E97A46">
      <w:pPr>
        <w:spacing w:line="360" w:lineRule="auto"/>
        <w:rPr>
          <w:rFonts w:hint="eastAsia" w:ascii="宋体" w:hAnsi="宋体" w:eastAsia="宋体" w:cs="宋体"/>
          <w:sz w:val="24"/>
          <w:szCs w:val="24"/>
        </w:rPr>
      </w:pPr>
      <w:r>
        <w:rPr>
          <w:rFonts w:hint="eastAsia" w:ascii="宋体" w:hAnsi="宋体" w:eastAsia="宋体" w:cs="宋体"/>
          <w:sz w:val="24"/>
          <w:szCs w:val="24"/>
        </w:rPr>
        <w:t>预训练模型兴起：BERT（2018）、GPT系列（2018—2020）等预训练语言模型的出现，开启了"预训练+微调"的新范式，极大地提升了自然语言处理任务的性能。</w:t>
      </w:r>
    </w:p>
    <w:p w14:paraId="4DBFEAE0">
      <w:pPr>
        <w:spacing w:line="360" w:lineRule="auto"/>
        <w:rPr>
          <w:rFonts w:hint="eastAsia" w:ascii="宋体" w:hAnsi="宋体" w:eastAsia="宋体" w:cs="宋体"/>
          <w:sz w:val="24"/>
          <w:szCs w:val="24"/>
        </w:rPr>
      </w:pPr>
      <w:r>
        <w:rPr>
          <w:rFonts w:hint="eastAsia" w:ascii="宋体" w:hAnsi="宋体" w:eastAsia="宋体" w:cs="宋体"/>
          <w:sz w:val="24"/>
          <w:szCs w:val="24"/>
        </w:rPr>
        <w:t>多模态融合萌芽：这一时期开始出现将视觉和语言信息结合的多模态学习研究，为后续多模态大模型的发展奠定了基础。</w:t>
      </w:r>
    </w:p>
    <w:p w14:paraId="1848F54B">
      <w:pPr>
        <w:spacing w:line="360" w:lineRule="auto"/>
        <w:rPr>
          <w:rFonts w:hint="eastAsia" w:ascii="宋体" w:hAnsi="宋体" w:eastAsia="宋体" w:cs="宋体"/>
          <w:sz w:val="24"/>
          <w:szCs w:val="24"/>
        </w:rPr>
      </w:pPr>
      <w:r>
        <w:rPr>
          <w:rFonts w:hint="eastAsia" w:ascii="宋体" w:hAnsi="宋体" w:eastAsia="宋体" w:cs="宋体"/>
          <w:sz w:val="24"/>
          <w:szCs w:val="24"/>
        </w:rPr>
        <w:t>5.1.3 从大模型到通用人工智能的探索（2021—2026年）</w:t>
      </w:r>
    </w:p>
    <w:p w14:paraId="380BADDE">
      <w:pPr>
        <w:spacing w:line="360" w:lineRule="auto"/>
        <w:rPr>
          <w:rFonts w:hint="eastAsia" w:ascii="宋体" w:hAnsi="宋体" w:eastAsia="宋体" w:cs="宋体"/>
          <w:sz w:val="24"/>
          <w:szCs w:val="24"/>
        </w:rPr>
      </w:pPr>
      <w:r>
        <w:rPr>
          <w:rFonts w:hint="eastAsia" w:ascii="宋体" w:hAnsi="宋体" w:eastAsia="宋体" w:cs="宋体"/>
          <w:sz w:val="24"/>
          <w:szCs w:val="24"/>
        </w:rPr>
        <w:t>2021年至今，机器学习领域进入了大模型和通用人工智能（AGI）探索的新阶段：</w:t>
      </w:r>
    </w:p>
    <w:p w14:paraId="16E85113">
      <w:pPr>
        <w:spacing w:line="360" w:lineRule="auto"/>
        <w:rPr>
          <w:rFonts w:hint="eastAsia" w:ascii="宋体" w:hAnsi="宋体" w:eastAsia="宋体" w:cs="宋体"/>
          <w:sz w:val="24"/>
          <w:szCs w:val="24"/>
        </w:rPr>
      </w:pPr>
      <w:r>
        <w:rPr>
          <w:rFonts w:hint="eastAsia" w:ascii="宋体" w:hAnsi="宋体" w:eastAsia="宋体" w:cs="宋体"/>
          <w:sz w:val="24"/>
          <w:szCs w:val="24"/>
        </w:rPr>
        <w:t>大语言模型爆发：GPT-3（2020）、GPT-4（2023）、ChatGPT（2022）以及国内的文心一言、通义千问等大模型的出现，引发了全球范围内的技术竞赛。文献中关于大语言模型、提示工程、上下文学习的研究激增。</w:t>
      </w:r>
    </w:p>
    <w:p w14:paraId="4493703B">
      <w:pPr>
        <w:spacing w:line="360" w:lineRule="auto"/>
        <w:rPr>
          <w:rFonts w:hint="eastAsia" w:ascii="宋体" w:hAnsi="宋体" w:eastAsia="宋体" w:cs="宋体"/>
          <w:sz w:val="24"/>
          <w:szCs w:val="24"/>
        </w:rPr>
      </w:pPr>
      <w:r>
        <w:rPr>
          <w:rFonts w:hint="eastAsia" w:ascii="宋体" w:hAnsi="宋体" w:eastAsia="宋体" w:cs="宋体"/>
          <w:sz w:val="24"/>
          <w:szCs w:val="24"/>
        </w:rPr>
        <w:t>多模态大模型：GPT-4V、Gemini、Sora等模型实现了文本、图像、视频的统一理解和生成，标志着多模态学习的成熟。</w:t>
      </w:r>
    </w:p>
    <w:p w14:paraId="33F4EF89">
      <w:pPr>
        <w:spacing w:line="360" w:lineRule="auto"/>
        <w:rPr>
          <w:rFonts w:hint="eastAsia" w:ascii="宋体" w:hAnsi="宋体" w:eastAsia="宋体" w:cs="宋体"/>
          <w:sz w:val="24"/>
          <w:szCs w:val="24"/>
        </w:rPr>
      </w:pPr>
      <w:r>
        <w:rPr>
          <w:rFonts w:hint="eastAsia" w:ascii="宋体" w:hAnsi="宋体" w:eastAsia="宋体" w:cs="宋体"/>
          <w:sz w:val="24"/>
          <w:szCs w:val="24"/>
        </w:rPr>
        <w:t>AI Agent兴起：以AutoGPT、LangChain为代表的AI Agent框架，探索将大模型与工具调用、自主决策相结合，向通用人工智能迈进。</w:t>
      </w:r>
    </w:p>
    <w:p w14:paraId="13ED15E8">
      <w:pPr>
        <w:spacing w:line="360" w:lineRule="auto"/>
        <w:rPr>
          <w:rFonts w:hint="eastAsia" w:ascii="宋体" w:hAnsi="宋体" w:eastAsia="宋体" w:cs="宋体"/>
          <w:sz w:val="24"/>
          <w:szCs w:val="24"/>
        </w:rPr>
      </w:pPr>
      <w:r>
        <w:rPr>
          <w:rFonts w:hint="eastAsia" w:ascii="宋体" w:hAnsi="宋体" w:eastAsia="宋体" w:cs="宋体"/>
          <w:sz w:val="24"/>
          <w:szCs w:val="24"/>
        </w:rPr>
        <w:t>5.2 研究热点演化</w:t>
      </w:r>
    </w:p>
    <w:p w14:paraId="075E98EE">
      <w:pPr>
        <w:spacing w:line="360" w:lineRule="auto"/>
        <w:rPr>
          <w:rFonts w:hint="eastAsia" w:ascii="宋体" w:hAnsi="宋体" w:eastAsia="宋体" w:cs="宋体"/>
          <w:sz w:val="24"/>
          <w:szCs w:val="24"/>
        </w:rPr>
      </w:pPr>
      <w:r>
        <w:rPr>
          <w:rFonts w:hint="eastAsia" w:ascii="宋体" w:hAnsi="宋体" w:eastAsia="宋体" w:cs="宋体"/>
          <w:sz w:val="24"/>
          <w:szCs w:val="24"/>
        </w:rPr>
        <w:t>5.2.1 热点主题的阶段性变迁</w:t>
      </w:r>
    </w:p>
    <w:p w14:paraId="2ECE8926">
      <w:pPr>
        <w:spacing w:line="360" w:lineRule="auto"/>
        <w:rPr>
          <w:rFonts w:hint="eastAsia" w:ascii="宋体" w:hAnsi="宋体" w:eastAsia="宋体" w:cs="宋体"/>
          <w:sz w:val="24"/>
          <w:szCs w:val="24"/>
        </w:rPr>
      </w:pPr>
      <w:r>
        <w:rPr>
          <w:rFonts w:hint="eastAsia" w:ascii="宋体" w:hAnsi="宋体" w:eastAsia="宋体" w:cs="宋体"/>
          <w:sz w:val="24"/>
          <w:szCs w:val="24"/>
        </w:rPr>
        <w:t>通过对关键词频次的时序分析，可以清晰地观察到研究热点的阶段性演化：</w:t>
      </w:r>
    </w:p>
    <w:tbl>
      <w:tblPr>
        <w:tblStyle w:val="3"/>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50"/>
        <w:gridCol w:w="1853"/>
        <w:gridCol w:w="3216"/>
        <w:gridCol w:w="1987"/>
      </w:tblGrid>
      <w:tr w14:paraId="640187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bottom w:val="nil"/>
              <w:right w:val="nil"/>
            </w:tcBorders>
            <w:shd w:val="clear" w:color="auto" w:fill="FFFFFF"/>
            <w:tcMar>
              <w:top w:w="100" w:type="dxa"/>
              <w:left w:w="100" w:type="dxa"/>
              <w:bottom w:w="100" w:type="dxa"/>
              <w:right w:w="100" w:type="dxa"/>
            </w:tcMar>
            <w:vAlign w:val="top"/>
          </w:tcPr>
          <w:p w14:paraId="09782250">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b/>
                <w:bCs/>
                <w:i w:val="0"/>
                <w:iCs w:val="0"/>
                <w:caps w:val="0"/>
                <w:spacing w:val="5"/>
                <w:sz w:val="24"/>
                <w:szCs w:val="24"/>
              </w:rPr>
            </w:pPr>
            <w:r>
              <w:rPr>
                <w:rFonts w:hint="eastAsia" w:ascii="宋体" w:hAnsi="宋体" w:eastAsia="宋体" w:cs="宋体"/>
                <w:b/>
                <w:bCs/>
                <w:i w:val="0"/>
                <w:iCs w:val="0"/>
                <w:caps w:val="0"/>
                <w:spacing w:val="5"/>
                <w:kern w:val="0"/>
                <w:sz w:val="24"/>
                <w:szCs w:val="24"/>
                <w:lang w:val="en-US" w:eastAsia="zh-CN" w:bidi="ar"/>
              </w:rPr>
              <w:t>时期</w:t>
            </w:r>
          </w:p>
        </w:tc>
        <w:tc>
          <w:tcPr>
            <w:tcW w:w="1853" w:type="dxa"/>
            <w:tcBorders>
              <w:left w:val="single" w:color="auto" w:sz="2" w:space="0"/>
              <w:bottom w:val="nil"/>
              <w:right w:val="nil"/>
            </w:tcBorders>
            <w:shd w:val="clear" w:color="auto" w:fill="FFFFFF"/>
            <w:tcMar>
              <w:top w:w="100" w:type="dxa"/>
              <w:left w:w="100" w:type="dxa"/>
              <w:bottom w:w="100" w:type="dxa"/>
              <w:right w:w="100" w:type="dxa"/>
            </w:tcMar>
            <w:vAlign w:val="top"/>
          </w:tcPr>
          <w:p w14:paraId="5043440A">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b/>
                <w:bCs/>
                <w:i w:val="0"/>
                <w:iCs w:val="0"/>
                <w:caps w:val="0"/>
                <w:spacing w:val="5"/>
                <w:sz w:val="24"/>
                <w:szCs w:val="24"/>
              </w:rPr>
            </w:pPr>
            <w:r>
              <w:rPr>
                <w:rFonts w:hint="eastAsia" w:ascii="宋体" w:hAnsi="宋体" w:eastAsia="宋体" w:cs="宋体"/>
                <w:b/>
                <w:bCs/>
                <w:i w:val="0"/>
                <w:iCs w:val="0"/>
                <w:caps w:val="0"/>
                <w:spacing w:val="5"/>
                <w:kern w:val="0"/>
                <w:sz w:val="24"/>
                <w:szCs w:val="24"/>
                <w:lang w:val="en-US" w:eastAsia="zh-CN" w:bidi="ar"/>
              </w:rPr>
              <w:t>主导技术/主题</w:t>
            </w:r>
          </w:p>
        </w:tc>
        <w:tc>
          <w:tcPr>
            <w:tcW w:w="3216" w:type="dxa"/>
            <w:tcBorders>
              <w:left w:val="single" w:color="auto" w:sz="2" w:space="0"/>
              <w:bottom w:val="nil"/>
              <w:right w:val="nil"/>
            </w:tcBorders>
            <w:shd w:val="clear" w:color="auto" w:fill="FFFFFF"/>
            <w:tcMar>
              <w:top w:w="100" w:type="dxa"/>
              <w:left w:w="100" w:type="dxa"/>
              <w:bottom w:w="100" w:type="dxa"/>
              <w:right w:w="100" w:type="dxa"/>
            </w:tcMar>
            <w:vAlign w:val="top"/>
          </w:tcPr>
          <w:p w14:paraId="38069FD2">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b/>
                <w:bCs/>
                <w:i w:val="0"/>
                <w:iCs w:val="0"/>
                <w:caps w:val="0"/>
                <w:spacing w:val="5"/>
                <w:sz w:val="24"/>
                <w:szCs w:val="24"/>
              </w:rPr>
            </w:pPr>
            <w:r>
              <w:rPr>
                <w:rFonts w:hint="eastAsia" w:ascii="宋体" w:hAnsi="宋体" w:eastAsia="宋体" w:cs="宋体"/>
                <w:b/>
                <w:bCs/>
                <w:i w:val="0"/>
                <w:iCs w:val="0"/>
                <w:caps w:val="0"/>
                <w:spacing w:val="5"/>
                <w:kern w:val="0"/>
                <w:sz w:val="24"/>
                <w:szCs w:val="24"/>
                <w:lang w:val="en-US" w:eastAsia="zh-CN" w:bidi="ar"/>
              </w:rPr>
              <w:t>代表性关键词</w:t>
            </w:r>
          </w:p>
        </w:tc>
        <w:tc>
          <w:tcPr>
            <w:tcW w:w="0" w:type="auto"/>
            <w:tcBorders>
              <w:left w:val="single" w:color="auto" w:sz="2" w:space="0"/>
              <w:bottom w:val="nil"/>
            </w:tcBorders>
            <w:shd w:val="clear" w:color="auto" w:fill="FFFFFF"/>
            <w:tcMar>
              <w:top w:w="100" w:type="dxa"/>
              <w:left w:w="100" w:type="dxa"/>
              <w:bottom w:w="100" w:type="dxa"/>
              <w:right w:w="100" w:type="dxa"/>
            </w:tcMar>
            <w:vAlign w:val="top"/>
          </w:tcPr>
          <w:p w14:paraId="46510C0A">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b/>
                <w:bCs/>
                <w:i w:val="0"/>
                <w:iCs w:val="0"/>
                <w:caps w:val="0"/>
                <w:spacing w:val="5"/>
                <w:sz w:val="24"/>
                <w:szCs w:val="24"/>
              </w:rPr>
            </w:pPr>
            <w:r>
              <w:rPr>
                <w:rFonts w:hint="eastAsia" w:ascii="宋体" w:hAnsi="宋体" w:eastAsia="宋体" w:cs="宋体"/>
                <w:b/>
                <w:bCs/>
                <w:i w:val="0"/>
                <w:iCs w:val="0"/>
                <w:caps w:val="0"/>
                <w:spacing w:val="5"/>
                <w:kern w:val="0"/>
                <w:sz w:val="24"/>
                <w:szCs w:val="24"/>
                <w:lang w:val="en-US" w:eastAsia="zh-CN" w:bidi="ar"/>
              </w:rPr>
              <w:t>特征描述</w:t>
            </w:r>
          </w:p>
        </w:tc>
      </w:tr>
      <w:tr w14:paraId="5713E08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bottom w:val="nil"/>
              <w:right w:val="nil"/>
            </w:tcBorders>
            <w:shd w:val="clear" w:color="auto" w:fill="FFFFFF"/>
            <w:tcMar>
              <w:top w:w="100" w:type="dxa"/>
              <w:left w:w="100" w:type="dxa"/>
              <w:bottom w:w="100" w:type="dxa"/>
              <w:right w:w="100" w:type="dxa"/>
            </w:tcMar>
            <w:vAlign w:val="top"/>
          </w:tcPr>
          <w:p w14:paraId="7543D1E3">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2010—2013</w:t>
            </w:r>
          </w:p>
        </w:tc>
        <w:tc>
          <w:tcPr>
            <w:tcW w:w="1853" w:type="dxa"/>
            <w:tcBorders>
              <w:top w:val="single" w:color="auto" w:sz="2" w:space="0"/>
              <w:left w:val="single" w:color="auto" w:sz="2" w:space="0"/>
              <w:bottom w:val="nil"/>
              <w:right w:val="nil"/>
            </w:tcBorders>
            <w:shd w:val="clear" w:color="auto" w:fill="FFFFFF"/>
            <w:tcMar>
              <w:top w:w="100" w:type="dxa"/>
              <w:left w:w="100" w:type="dxa"/>
              <w:bottom w:w="100" w:type="dxa"/>
              <w:right w:w="100" w:type="dxa"/>
            </w:tcMar>
            <w:vAlign w:val="top"/>
          </w:tcPr>
          <w:p w14:paraId="7F20EC1D">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传统机器学习</w:t>
            </w:r>
          </w:p>
        </w:tc>
        <w:tc>
          <w:tcPr>
            <w:tcW w:w="3216" w:type="dxa"/>
            <w:tcBorders>
              <w:top w:val="single" w:color="auto" w:sz="2" w:space="0"/>
              <w:left w:val="single" w:color="auto" w:sz="2" w:space="0"/>
              <w:bottom w:val="nil"/>
              <w:right w:val="nil"/>
            </w:tcBorders>
            <w:shd w:val="clear" w:color="auto" w:fill="FFFFFF"/>
            <w:tcMar>
              <w:top w:w="100" w:type="dxa"/>
              <w:left w:w="100" w:type="dxa"/>
              <w:bottom w:w="100" w:type="dxa"/>
              <w:right w:w="100" w:type="dxa"/>
            </w:tcMar>
            <w:vAlign w:val="top"/>
          </w:tcPr>
          <w:p w14:paraId="5B3EF39E">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SVM、决策树、特征选择、集成学习</w:t>
            </w:r>
          </w:p>
        </w:tc>
        <w:tc>
          <w:tcPr>
            <w:tcW w:w="0" w:type="auto"/>
            <w:tcBorders>
              <w:top w:val="single" w:color="auto" w:sz="2" w:space="0"/>
              <w:left w:val="single" w:color="auto" w:sz="2" w:space="0"/>
              <w:bottom w:val="nil"/>
            </w:tcBorders>
            <w:shd w:val="clear" w:color="auto" w:fill="FFFFFF"/>
            <w:tcMar>
              <w:top w:w="100" w:type="dxa"/>
              <w:left w:w="100" w:type="dxa"/>
              <w:bottom w:w="100" w:type="dxa"/>
              <w:right w:w="100" w:type="dxa"/>
            </w:tcMar>
            <w:vAlign w:val="top"/>
          </w:tcPr>
          <w:p w14:paraId="32CE07B1">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算法优化和理论分析为主</w:t>
            </w:r>
          </w:p>
        </w:tc>
      </w:tr>
      <w:tr w14:paraId="09DACA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bottom w:val="nil"/>
              <w:right w:val="nil"/>
            </w:tcBorders>
            <w:shd w:val="clear" w:color="auto" w:fill="FFFFFF"/>
            <w:tcMar>
              <w:top w:w="100" w:type="dxa"/>
              <w:left w:w="100" w:type="dxa"/>
              <w:bottom w:w="100" w:type="dxa"/>
              <w:right w:w="100" w:type="dxa"/>
            </w:tcMar>
            <w:vAlign w:val="top"/>
          </w:tcPr>
          <w:p w14:paraId="49B19A95">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2014—2016</w:t>
            </w:r>
          </w:p>
        </w:tc>
        <w:tc>
          <w:tcPr>
            <w:tcW w:w="1853" w:type="dxa"/>
            <w:tcBorders>
              <w:top w:val="single" w:color="auto" w:sz="2" w:space="0"/>
              <w:left w:val="single" w:color="auto" w:sz="2" w:space="0"/>
              <w:bottom w:val="nil"/>
              <w:right w:val="nil"/>
            </w:tcBorders>
            <w:shd w:val="clear" w:color="auto" w:fill="FFFFFF"/>
            <w:tcMar>
              <w:top w:w="100" w:type="dxa"/>
              <w:left w:w="100" w:type="dxa"/>
              <w:bottom w:w="100" w:type="dxa"/>
              <w:right w:w="100" w:type="dxa"/>
            </w:tcMar>
            <w:vAlign w:val="top"/>
          </w:tcPr>
          <w:p w14:paraId="62E64000">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深度学习爆发</w:t>
            </w:r>
          </w:p>
        </w:tc>
        <w:tc>
          <w:tcPr>
            <w:tcW w:w="3216" w:type="dxa"/>
            <w:tcBorders>
              <w:top w:val="single" w:color="auto" w:sz="2" w:space="0"/>
              <w:left w:val="single" w:color="auto" w:sz="2" w:space="0"/>
              <w:bottom w:val="nil"/>
              <w:right w:val="nil"/>
            </w:tcBorders>
            <w:shd w:val="clear" w:color="auto" w:fill="FFFFFF"/>
            <w:tcMar>
              <w:top w:w="100" w:type="dxa"/>
              <w:left w:w="100" w:type="dxa"/>
              <w:bottom w:w="100" w:type="dxa"/>
              <w:right w:w="100" w:type="dxa"/>
            </w:tcMar>
            <w:vAlign w:val="top"/>
          </w:tcPr>
          <w:p w14:paraId="11FC337F">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CNN、RNN、LSTM、GAN、ImageNet</w:t>
            </w:r>
          </w:p>
        </w:tc>
        <w:tc>
          <w:tcPr>
            <w:tcW w:w="0" w:type="auto"/>
            <w:tcBorders>
              <w:top w:val="single" w:color="auto" w:sz="2" w:space="0"/>
              <w:left w:val="single" w:color="auto" w:sz="2" w:space="0"/>
              <w:bottom w:val="nil"/>
            </w:tcBorders>
            <w:shd w:val="clear" w:color="auto" w:fill="FFFFFF"/>
            <w:tcMar>
              <w:top w:w="100" w:type="dxa"/>
              <w:left w:w="100" w:type="dxa"/>
              <w:bottom w:w="100" w:type="dxa"/>
              <w:right w:w="100" w:type="dxa"/>
            </w:tcMar>
            <w:vAlign w:val="top"/>
          </w:tcPr>
          <w:p w14:paraId="62597C61">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计算机视觉应用驱动</w:t>
            </w:r>
          </w:p>
        </w:tc>
      </w:tr>
      <w:tr w14:paraId="61EA162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bottom w:val="nil"/>
              <w:right w:val="nil"/>
            </w:tcBorders>
            <w:shd w:val="clear" w:color="auto" w:fill="FFFFFF"/>
            <w:tcMar>
              <w:top w:w="100" w:type="dxa"/>
              <w:left w:w="100" w:type="dxa"/>
              <w:bottom w:w="100" w:type="dxa"/>
              <w:right w:w="100" w:type="dxa"/>
            </w:tcMar>
            <w:vAlign w:val="top"/>
          </w:tcPr>
          <w:p w14:paraId="041E8920">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2017—2019</w:t>
            </w:r>
          </w:p>
        </w:tc>
        <w:tc>
          <w:tcPr>
            <w:tcW w:w="1853" w:type="dxa"/>
            <w:tcBorders>
              <w:top w:val="single" w:color="auto" w:sz="2" w:space="0"/>
              <w:left w:val="single" w:color="auto" w:sz="2" w:space="0"/>
              <w:bottom w:val="nil"/>
              <w:right w:val="nil"/>
            </w:tcBorders>
            <w:shd w:val="clear" w:color="auto" w:fill="FFFFFF"/>
            <w:tcMar>
              <w:top w:w="100" w:type="dxa"/>
              <w:left w:w="100" w:type="dxa"/>
              <w:bottom w:w="100" w:type="dxa"/>
              <w:right w:w="100" w:type="dxa"/>
            </w:tcMar>
            <w:vAlign w:val="top"/>
          </w:tcPr>
          <w:p w14:paraId="358E8493">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NLP与预训练</w:t>
            </w:r>
          </w:p>
        </w:tc>
        <w:tc>
          <w:tcPr>
            <w:tcW w:w="3216" w:type="dxa"/>
            <w:tcBorders>
              <w:top w:val="single" w:color="auto" w:sz="2" w:space="0"/>
              <w:left w:val="single" w:color="auto" w:sz="2" w:space="0"/>
              <w:bottom w:val="nil"/>
              <w:right w:val="nil"/>
            </w:tcBorders>
            <w:shd w:val="clear" w:color="auto" w:fill="FFFFFF"/>
            <w:tcMar>
              <w:top w:w="100" w:type="dxa"/>
              <w:left w:w="100" w:type="dxa"/>
              <w:bottom w:w="100" w:type="dxa"/>
              <w:right w:w="100" w:type="dxa"/>
            </w:tcMar>
            <w:vAlign w:val="top"/>
          </w:tcPr>
          <w:p w14:paraId="4332D589">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Transformer、BERT、GPT、注意力机制</w:t>
            </w:r>
          </w:p>
        </w:tc>
        <w:tc>
          <w:tcPr>
            <w:tcW w:w="0" w:type="auto"/>
            <w:tcBorders>
              <w:top w:val="single" w:color="auto" w:sz="2" w:space="0"/>
              <w:left w:val="single" w:color="auto" w:sz="2" w:space="0"/>
              <w:bottom w:val="nil"/>
            </w:tcBorders>
            <w:shd w:val="clear" w:color="auto" w:fill="FFFFFF"/>
            <w:tcMar>
              <w:top w:w="100" w:type="dxa"/>
              <w:left w:w="100" w:type="dxa"/>
              <w:bottom w:w="100" w:type="dxa"/>
              <w:right w:w="100" w:type="dxa"/>
            </w:tcMar>
            <w:vAlign w:val="top"/>
          </w:tcPr>
          <w:p w14:paraId="1B5D5655">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自然语言处理革命</w:t>
            </w:r>
          </w:p>
        </w:tc>
      </w:tr>
      <w:tr w14:paraId="3B761DA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bottom w:val="nil"/>
              <w:right w:val="nil"/>
            </w:tcBorders>
            <w:shd w:val="clear" w:color="auto" w:fill="FFFFFF"/>
            <w:tcMar>
              <w:top w:w="100" w:type="dxa"/>
              <w:left w:w="100" w:type="dxa"/>
              <w:bottom w:w="100" w:type="dxa"/>
              <w:right w:w="100" w:type="dxa"/>
            </w:tcMar>
            <w:vAlign w:val="top"/>
          </w:tcPr>
          <w:p w14:paraId="060BA734">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2020—2022</w:t>
            </w:r>
          </w:p>
        </w:tc>
        <w:tc>
          <w:tcPr>
            <w:tcW w:w="1853" w:type="dxa"/>
            <w:tcBorders>
              <w:top w:val="single" w:color="auto" w:sz="2" w:space="0"/>
              <w:left w:val="single" w:color="auto" w:sz="2" w:space="0"/>
              <w:bottom w:val="nil"/>
              <w:right w:val="nil"/>
            </w:tcBorders>
            <w:shd w:val="clear" w:color="auto" w:fill="FFFFFF"/>
            <w:tcMar>
              <w:top w:w="100" w:type="dxa"/>
              <w:left w:w="100" w:type="dxa"/>
              <w:bottom w:w="100" w:type="dxa"/>
              <w:right w:w="100" w:type="dxa"/>
            </w:tcMar>
            <w:vAlign w:val="top"/>
          </w:tcPr>
          <w:p w14:paraId="2BE5F625">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大模型与应用</w:t>
            </w:r>
          </w:p>
        </w:tc>
        <w:tc>
          <w:tcPr>
            <w:tcW w:w="3216" w:type="dxa"/>
            <w:tcBorders>
              <w:top w:val="single" w:color="auto" w:sz="2" w:space="0"/>
              <w:left w:val="single" w:color="auto" w:sz="2" w:space="0"/>
              <w:bottom w:val="nil"/>
              <w:right w:val="nil"/>
            </w:tcBorders>
            <w:shd w:val="clear" w:color="auto" w:fill="FFFFFF"/>
            <w:tcMar>
              <w:top w:w="100" w:type="dxa"/>
              <w:left w:w="100" w:type="dxa"/>
              <w:bottom w:w="100" w:type="dxa"/>
              <w:right w:w="100" w:type="dxa"/>
            </w:tcMar>
            <w:vAlign w:val="top"/>
          </w:tcPr>
          <w:p w14:paraId="17EEC9BB">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GPT-3、预训练、微调、Prompt</w:t>
            </w:r>
          </w:p>
        </w:tc>
        <w:tc>
          <w:tcPr>
            <w:tcW w:w="0" w:type="auto"/>
            <w:tcBorders>
              <w:top w:val="single" w:color="auto" w:sz="2" w:space="0"/>
              <w:left w:val="single" w:color="auto" w:sz="2" w:space="0"/>
              <w:bottom w:val="nil"/>
            </w:tcBorders>
            <w:shd w:val="clear" w:color="auto" w:fill="FFFFFF"/>
            <w:tcMar>
              <w:top w:w="100" w:type="dxa"/>
              <w:left w:w="100" w:type="dxa"/>
              <w:bottom w:w="100" w:type="dxa"/>
              <w:right w:w="100" w:type="dxa"/>
            </w:tcMar>
            <w:vAlign w:val="top"/>
          </w:tcPr>
          <w:p w14:paraId="23994602">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模型规模化和应用落地</w:t>
            </w:r>
          </w:p>
        </w:tc>
      </w:tr>
      <w:tr w14:paraId="37CFF1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right w:val="nil"/>
            </w:tcBorders>
            <w:shd w:val="clear" w:color="auto" w:fill="FFFFFF"/>
            <w:tcMar>
              <w:top w:w="100" w:type="dxa"/>
              <w:left w:w="100" w:type="dxa"/>
              <w:bottom w:w="100" w:type="dxa"/>
              <w:right w:w="100" w:type="dxa"/>
            </w:tcMar>
            <w:vAlign w:val="top"/>
          </w:tcPr>
          <w:p w14:paraId="14332A53">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2023—2026</w:t>
            </w:r>
          </w:p>
        </w:tc>
        <w:tc>
          <w:tcPr>
            <w:tcW w:w="1853" w:type="dxa"/>
            <w:tcBorders>
              <w:top w:val="single" w:color="auto" w:sz="2" w:space="0"/>
              <w:left w:val="single" w:color="auto" w:sz="2" w:space="0"/>
              <w:right w:val="nil"/>
            </w:tcBorders>
            <w:shd w:val="clear" w:color="auto" w:fill="FFFFFF"/>
            <w:tcMar>
              <w:top w:w="100" w:type="dxa"/>
              <w:left w:w="100" w:type="dxa"/>
              <w:bottom w:w="100" w:type="dxa"/>
              <w:right w:w="100" w:type="dxa"/>
            </w:tcMar>
            <w:vAlign w:val="top"/>
          </w:tcPr>
          <w:p w14:paraId="70548431">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多模态与Agent</w:t>
            </w:r>
          </w:p>
        </w:tc>
        <w:tc>
          <w:tcPr>
            <w:tcW w:w="3216" w:type="dxa"/>
            <w:tcBorders>
              <w:top w:val="single" w:color="auto" w:sz="2" w:space="0"/>
              <w:left w:val="single" w:color="auto" w:sz="2" w:space="0"/>
              <w:right w:val="nil"/>
            </w:tcBorders>
            <w:shd w:val="clear" w:color="auto" w:fill="FFFFFF"/>
            <w:tcMar>
              <w:top w:w="100" w:type="dxa"/>
              <w:left w:w="100" w:type="dxa"/>
              <w:bottom w:w="100" w:type="dxa"/>
              <w:right w:w="100" w:type="dxa"/>
            </w:tcMar>
            <w:vAlign w:val="top"/>
          </w:tcPr>
          <w:p w14:paraId="45B13327">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LLM、多模态、AI Agent、RAG、联邦学习</w:t>
            </w:r>
          </w:p>
        </w:tc>
        <w:tc>
          <w:tcPr>
            <w:tcW w:w="0" w:type="auto"/>
            <w:tcBorders>
              <w:top w:val="single" w:color="auto" w:sz="2" w:space="0"/>
              <w:left w:val="single" w:color="auto" w:sz="2" w:space="0"/>
            </w:tcBorders>
            <w:shd w:val="clear" w:color="auto" w:fill="FFFFFF"/>
            <w:tcMar>
              <w:top w:w="100" w:type="dxa"/>
              <w:left w:w="100" w:type="dxa"/>
              <w:bottom w:w="100" w:type="dxa"/>
              <w:right w:w="100" w:type="dxa"/>
            </w:tcMar>
            <w:vAlign w:val="top"/>
          </w:tcPr>
          <w:p w14:paraId="49C470F6">
            <w:pPr>
              <w:keepNext w:val="0"/>
              <w:keepLines w:val="0"/>
              <w:widowControl/>
              <w:suppressLineNumbers w:val="0"/>
              <w:spacing w:before="0" w:beforeAutospacing="0" w:after="0" w:afterAutospacing="0" w:line="360" w:lineRule="auto"/>
              <w:ind w:left="0" w:right="0"/>
              <w:jc w:val="left"/>
              <w:textAlignment w:val="top"/>
              <w:rPr>
                <w:rFonts w:hint="eastAsia" w:ascii="宋体" w:hAnsi="宋体" w:eastAsia="宋体" w:cs="宋体"/>
                <w:i w:val="0"/>
                <w:iCs w:val="0"/>
                <w:caps w:val="0"/>
                <w:spacing w:val="5"/>
                <w:sz w:val="24"/>
                <w:szCs w:val="24"/>
              </w:rPr>
            </w:pPr>
            <w:r>
              <w:rPr>
                <w:rFonts w:hint="eastAsia" w:ascii="宋体" w:hAnsi="宋体" w:eastAsia="宋体" w:cs="宋体"/>
                <w:i w:val="0"/>
                <w:iCs w:val="0"/>
                <w:caps w:val="0"/>
                <w:spacing w:val="5"/>
                <w:kern w:val="0"/>
                <w:sz w:val="24"/>
                <w:szCs w:val="24"/>
                <w:lang w:val="en-US" w:eastAsia="zh-CN" w:bidi="ar"/>
              </w:rPr>
              <w:t>通用化和跨模态融合</w:t>
            </w:r>
          </w:p>
        </w:tc>
      </w:tr>
    </w:tbl>
    <w:p w14:paraId="0D1E2489">
      <w:pPr>
        <w:spacing w:line="360" w:lineRule="auto"/>
        <w:rPr>
          <w:rFonts w:hint="eastAsia" w:ascii="宋体" w:hAnsi="宋体" w:eastAsia="宋体" w:cs="宋体"/>
          <w:sz w:val="24"/>
          <w:szCs w:val="24"/>
        </w:rPr>
      </w:pPr>
      <w:r>
        <w:rPr>
          <w:rFonts w:hint="eastAsia" w:ascii="宋体" w:hAnsi="宋体" w:eastAsia="宋体" w:cs="宋体"/>
          <w:sz w:val="24"/>
          <w:szCs w:val="24"/>
        </w:rPr>
        <w:t>5.2.2 应用领域的扩展趋势</w:t>
      </w:r>
    </w:p>
    <w:p w14:paraId="5B04A585">
      <w:pPr>
        <w:spacing w:line="360" w:lineRule="auto"/>
        <w:rPr>
          <w:rFonts w:hint="eastAsia" w:ascii="宋体" w:hAnsi="宋体" w:eastAsia="宋体" w:cs="宋体"/>
          <w:sz w:val="24"/>
          <w:szCs w:val="24"/>
        </w:rPr>
      </w:pPr>
      <w:r>
        <w:rPr>
          <w:rFonts w:hint="eastAsia" w:ascii="宋体" w:hAnsi="宋体" w:eastAsia="宋体" w:cs="宋体"/>
          <w:sz w:val="24"/>
          <w:szCs w:val="24"/>
        </w:rPr>
        <w:t>从应用维度来看，机器学习的热点应用领域也经历了显著的扩展：</w:t>
      </w:r>
    </w:p>
    <w:p w14:paraId="39C246FD">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t>早期（2010—2014）：主要集中在计算机视觉和基础NLP任务</w:t>
      </w:r>
      <w:r>
        <w:rPr>
          <w:rFonts w:hint="eastAsia" w:ascii="宋体" w:hAnsi="宋体" w:eastAsia="宋体" w:cs="宋体"/>
          <w:sz w:val="24"/>
          <w:szCs w:val="24"/>
          <w:lang w:eastAsia="zh-CN"/>
        </w:rPr>
        <w:t>。</w:t>
      </w:r>
    </w:p>
    <w:p w14:paraId="176EEA91">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中期（2015—2019）：向医疗影像分析、推荐系统、语音识别等垂直领域渗透</w:t>
      </w:r>
      <w:r>
        <w:rPr>
          <w:rFonts w:hint="eastAsia" w:ascii="宋体" w:hAnsi="宋体" w:eastAsia="宋体" w:cs="宋体"/>
          <w:sz w:val="24"/>
          <w:szCs w:val="24"/>
          <w:lang w:eastAsia="zh-CN"/>
        </w:rPr>
        <w:t>。</w:t>
      </w:r>
    </w:p>
    <w:p w14:paraId="16C01D60">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近期（2020—2026）：全面覆盖医疗诊断、金融风控、自动驾驶、科学计算、代码生成等几乎所有知识工作领域</w:t>
      </w:r>
      <w:r>
        <w:rPr>
          <w:rFonts w:hint="eastAsia" w:ascii="宋体" w:hAnsi="宋体" w:eastAsia="宋体" w:cs="宋体"/>
          <w:sz w:val="24"/>
          <w:szCs w:val="24"/>
          <w:lang w:eastAsia="zh-CN"/>
        </w:rPr>
        <w:t>。</w:t>
      </w:r>
    </w:p>
    <w:p w14:paraId="5C2500F9">
      <w:pPr>
        <w:spacing w:line="360" w:lineRule="auto"/>
        <w:rPr>
          <w:rFonts w:hint="eastAsia" w:ascii="宋体" w:hAnsi="宋体" w:eastAsia="宋体" w:cs="宋体"/>
          <w:sz w:val="24"/>
          <w:szCs w:val="24"/>
        </w:rPr>
      </w:pPr>
      <w:r>
        <w:rPr>
          <w:rFonts w:hint="eastAsia" w:ascii="宋体" w:hAnsi="宋体" w:eastAsia="宋体" w:cs="宋体"/>
          <w:sz w:val="24"/>
          <w:szCs w:val="24"/>
        </w:rPr>
        <w:t>5.2.3 学科交叉的深化</w:t>
      </w:r>
    </w:p>
    <w:p w14:paraId="5C5A2A86">
      <w:pPr>
        <w:spacing w:line="360" w:lineRule="auto"/>
        <w:rPr>
          <w:rFonts w:hint="eastAsia" w:ascii="宋体" w:hAnsi="宋体" w:eastAsia="宋体" w:cs="宋体"/>
          <w:sz w:val="24"/>
          <w:szCs w:val="24"/>
        </w:rPr>
      </w:pPr>
      <w:r>
        <w:rPr>
          <w:rFonts w:hint="eastAsia" w:ascii="宋体" w:hAnsi="宋体" w:eastAsia="宋体" w:cs="宋体"/>
          <w:sz w:val="24"/>
          <w:szCs w:val="24"/>
        </w:rPr>
        <w:t>文献计量分析显示，机器学习与其他学科的交叉融合呈现加速趋势：</w:t>
      </w:r>
    </w:p>
    <w:p w14:paraId="51636D77">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rPr>
        <w:t>与医学的融合：从早期的医学影像分析，发展到药物发现、基因组学分析、临床决策支持等深度应用</w:t>
      </w:r>
      <w:r>
        <w:rPr>
          <w:rFonts w:hint="eastAsia" w:ascii="宋体" w:hAnsi="宋体" w:eastAsia="宋体" w:cs="宋体"/>
          <w:sz w:val="24"/>
          <w:szCs w:val="24"/>
          <w:lang w:eastAsia="zh-CN"/>
        </w:rPr>
        <w:t>。例如，Du等结合机器学习与转录组分析，揭示了圆锥角膜中上皮与基质的层特异性基因表达变化，识别出多个潜在生物标志物，体现了机器学习在复杂疾病机制解析中的重要作用。</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_Ref17219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[1]</w:t>
      </w:r>
      <w:r>
        <w:rPr>
          <w:rFonts w:hint="eastAsia" w:ascii="宋体" w:hAnsi="宋体" w:eastAsia="宋体" w:cs="宋体"/>
          <w:sz w:val="24"/>
          <w:szCs w:val="24"/>
          <w:vertAlign w:val="superscript"/>
          <w:lang w:eastAsia="zh-CN"/>
        </w:rPr>
        <w:fldChar w:fldCharType="end"/>
      </w:r>
    </w:p>
    <w:p w14:paraId="37174218">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rPr>
        <w:t>与土木工程/地震工程的融合：从早期的地震动衰减关系统计，发展到机器学习与物理模拟的融合。巴振宁等（2026）将随机森林模型与三维谱元法物理模拟相结合，利用KiK‑Net数据库训练模型预测地表峰值加速度和谱加速度，成功考虑了近地表低波速土体的非线性与滤波放大效应，为地震动参数预测提供了新的混合驱动范式。</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_Ref17435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[2]</w:t>
      </w:r>
      <w:r>
        <w:rPr>
          <w:rFonts w:hint="eastAsia" w:ascii="宋体" w:hAnsi="宋体" w:eastAsia="宋体" w:cs="宋体"/>
          <w:sz w:val="24"/>
          <w:szCs w:val="24"/>
          <w:vertAlign w:val="superscript"/>
          <w:lang w:eastAsia="zh-CN"/>
        </w:rPr>
        <w:fldChar w:fldCharType="end"/>
      </w:r>
    </w:p>
    <w:p w14:paraId="4B0E2B9B">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rPr>
        <w:t>与工程管理的融合：国际工程项目供应链延误风险预测开始融合因果推断与机器学习。汪欣等（2026）构建了“风险因素识别—因果关系建模—机器预测—结果解释”框架，利用贝叶斯网络和因果森林识别关键因果路径，并通过LSTM和XGBoost进行时序预测，再以SHAP值量化各因素贡献度，实现了风险预测的因果可追溯与高精度。</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_Ref17490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[3]</w:t>
      </w:r>
      <w:r>
        <w:rPr>
          <w:rFonts w:hint="eastAsia" w:ascii="宋体" w:hAnsi="宋体" w:eastAsia="宋体" w:cs="宋体"/>
          <w:sz w:val="24"/>
          <w:szCs w:val="24"/>
          <w:vertAlign w:val="superscript"/>
          <w:lang w:eastAsia="zh-CN"/>
        </w:rPr>
        <w:fldChar w:fldCharType="end"/>
      </w:r>
    </w:p>
    <w:p w14:paraId="1CEB6C41">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rPr>
        <w:t>与社会科学的融合：计算社会科学、数字人文等交叉领域兴起，机器学习被用于社会网络分析、舆情监测等。李旻烜</w:t>
      </w:r>
      <w:r>
        <w:rPr>
          <w:rFonts w:hint="eastAsia" w:ascii="宋体" w:hAnsi="宋体" w:eastAsia="宋体" w:cs="宋体"/>
          <w:sz w:val="24"/>
          <w:szCs w:val="24"/>
          <w:lang w:val="en-US" w:eastAsia="zh-CN"/>
        </w:rPr>
        <w:t>等人</w:t>
      </w:r>
      <w:r>
        <w:rPr>
          <w:rFonts w:hint="eastAsia" w:ascii="宋体" w:hAnsi="宋体" w:eastAsia="宋体" w:cs="宋体"/>
          <w:sz w:val="24"/>
          <w:szCs w:val="24"/>
        </w:rPr>
        <w:t>将信任关系网络与Leiden社区发现、变分自编码器结合，处理公众参与的大群体多属性决策；同时引入移情关系网络与Q‑学习算法，模拟专家群体在多阶段决策中的观点演化，为智慧旅游场景下的景区推荐提供了知识与数据协同驱动的决策框架。</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_Ref17546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[4]</w:t>
      </w:r>
      <w:r>
        <w:rPr>
          <w:rFonts w:hint="eastAsia" w:ascii="宋体" w:hAnsi="宋体" w:eastAsia="宋体" w:cs="宋体"/>
          <w:sz w:val="24"/>
          <w:szCs w:val="24"/>
          <w:vertAlign w:val="superscript"/>
          <w:lang w:eastAsia="zh-CN"/>
        </w:rPr>
        <w:fldChar w:fldCharType="end"/>
      </w:r>
    </w:p>
    <w:p w14:paraId="108F5F58">
      <w:pPr>
        <w:spacing w:line="360" w:lineRule="auto"/>
        <w:rPr>
          <w:rFonts w:hint="eastAsia" w:ascii="宋体" w:hAnsi="宋体" w:eastAsia="宋体" w:cs="宋体"/>
          <w:sz w:val="24"/>
          <w:szCs w:val="24"/>
        </w:rPr>
      </w:pPr>
      <w:r>
        <w:rPr>
          <w:rFonts w:hint="eastAsia" w:ascii="宋体" w:hAnsi="宋体" w:eastAsia="宋体" w:cs="宋体"/>
          <w:sz w:val="24"/>
          <w:szCs w:val="24"/>
        </w:rPr>
        <w:t>5.3 未来趋势预测</w:t>
      </w:r>
    </w:p>
    <w:p w14:paraId="6ACFF3C7">
      <w:pPr>
        <w:spacing w:line="360" w:lineRule="auto"/>
        <w:rPr>
          <w:rFonts w:hint="eastAsia" w:ascii="宋体" w:hAnsi="宋体" w:eastAsia="宋体" w:cs="宋体"/>
          <w:sz w:val="24"/>
          <w:szCs w:val="24"/>
        </w:rPr>
      </w:pPr>
      <w:r>
        <w:rPr>
          <w:rFonts w:hint="eastAsia" w:ascii="宋体" w:hAnsi="宋体" w:eastAsia="宋体" w:cs="宋体"/>
          <w:sz w:val="24"/>
          <w:szCs w:val="24"/>
        </w:rPr>
        <w:t>基于对现有文献数据的分析和前沿技术动态的跟踪，本研究对机器学习领域的未来发展趋势做出以下预测：</w:t>
      </w:r>
    </w:p>
    <w:p w14:paraId="6DAF8D26">
      <w:pPr>
        <w:spacing w:line="360" w:lineRule="auto"/>
        <w:rPr>
          <w:rFonts w:hint="eastAsia" w:ascii="宋体" w:hAnsi="宋体" w:eastAsia="宋体" w:cs="宋体"/>
          <w:sz w:val="24"/>
          <w:szCs w:val="24"/>
        </w:rPr>
      </w:pPr>
      <w:r>
        <w:rPr>
          <w:rFonts w:hint="eastAsia" w:ascii="宋体" w:hAnsi="宋体" w:eastAsia="宋体" w:cs="宋体"/>
          <w:sz w:val="24"/>
          <w:szCs w:val="24"/>
        </w:rPr>
        <w:t>5.3.1 联邦学习</w:t>
      </w:r>
    </w:p>
    <w:p w14:paraId="53DCD43D">
      <w:pPr>
        <w:spacing w:line="360" w:lineRule="auto"/>
        <w:rPr>
          <w:rFonts w:hint="eastAsia" w:ascii="宋体" w:hAnsi="宋体" w:eastAsia="宋体" w:cs="宋体"/>
          <w:sz w:val="24"/>
          <w:szCs w:val="24"/>
        </w:rPr>
      </w:pPr>
      <w:r>
        <w:rPr>
          <w:rFonts w:hint="eastAsia" w:ascii="宋体" w:hAnsi="宋体" w:eastAsia="宋体" w:cs="宋体"/>
          <w:sz w:val="24"/>
          <w:szCs w:val="24"/>
        </w:rPr>
        <w:t>随着数据隐私保护法规的日益严格，联邦学习将成为重要的技术方向：</w:t>
      </w:r>
    </w:p>
    <w:p w14:paraId="62722E7F">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研究热度预测：预计未来3—5年内，联邦学习相关文献将保持年均30%以上的增长率</w:t>
      </w:r>
      <w:r>
        <w:rPr>
          <w:rFonts w:hint="eastAsia" w:ascii="宋体" w:hAnsi="宋体" w:eastAsia="宋体" w:cs="宋体"/>
          <w:sz w:val="24"/>
          <w:szCs w:val="24"/>
          <w:lang w:eastAsia="zh-CN"/>
        </w:rPr>
        <w:t>。</w:t>
      </w:r>
    </w:p>
    <w:p w14:paraId="70C3B21F">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技术发展方向：跨设备联邦学习、联邦迁移学习、隐私增强的联邦学习将成为研究热点</w:t>
      </w:r>
      <w:r>
        <w:rPr>
          <w:rFonts w:hint="eastAsia" w:ascii="宋体" w:hAnsi="宋体" w:eastAsia="宋体" w:cs="宋体"/>
          <w:sz w:val="24"/>
          <w:szCs w:val="24"/>
          <w:lang w:eastAsia="zh-CN"/>
        </w:rPr>
        <w:t>。</w:t>
      </w:r>
    </w:p>
    <w:p w14:paraId="23DDF4AE">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应用场景：医疗数据共享、金融联合风控、跨机构科研合作等领域将率先落地</w:t>
      </w:r>
      <w:r>
        <w:rPr>
          <w:rFonts w:hint="eastAsia" w:ascii="宋体" w:hAnsi="宋体" w:eastAsia="宋体" w:cs="宋体"/>
          <w:sz w:val="24"/>
          <w:szCs w:val="24"/>
          <w:lang w:eastAsia="zh-CN"/>
        </w:rPr>
        <w:t>。</w:t>
      </w:r>
    </w:p>
    <w:p w14:paraId="44855348">
      <w:pPr>
        <w:spacing w:line="360" w:lineRule="auto"/>
        <w:rPr>
          <w:rFonts w:hint="eastAsia" w:ascii="宋体" w:hAnsi="宋体" w:eastAsia="宋体" w:cs="宋体"/>
          <w:sz w:val="24"/>
          <w:szCs w:val="24"/>
        </w:rPr>
      </w:pPr>
      <w:r>
        <w:rPr>
          <w:rFonts w:hint="eastAsia" w:ascii="宋体" w:hAnsi="宋体" w:eastAsia="宋体" w:cs="宋体"/>
          <w:sz w:val="24"/>
          <w:szCs w:val="24"/>
        </w:rPr>
        <w:t>5.3.2 可解释人工智能</w:t>
      </w:r>
    </w:p>
    <w:p w14:paraId="0A136B2F">
      <w:pPr>
        <w:spacing w:line="360" w:lineRule="auto"/>
        <w:rPr>
          <w:rFonts w:hint="eastAsia" w:ascii="宋体" w:hAnsi="宋体" w:eastAsia="宋体" w:cs="宋体"/>
          <w:sz w:val="24"/>
          <w:szCs w:val="24"/>
        </w:rPr>
      </w:pPr>
      <w:r>
        <w:rPr>
          <w:rFonts w:hint="eastAsia" w:ascii="宋体" w:hAnsi="宋体" w:eastAsia="宋体" w:cs="宋体"/>
          <w:sz w:val="24"/>
          <w:szCs w:val="24"/>
        </w:rPr>
        <w:t>随着机器学习模型在高风险领域的应用，模型的可解释性需求日益迫切：</w:t>
      </w:r>
    </w:p>
    <w:p w14:paraId="392B6678">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研究趋势：可解释性将从"事后解释"向"内在可解释"发展，即从对黑盒模型的解释，转向设计本身具有可解释性的模型架构</w:t>
      </w:r>
      <w:r>
        <w:rPr>
          <w:rFonts w:hint="eastAsia" w:ascii="宋体" w:hAnsi="宋体" w:eastAsia="宋体" w:cs="宋体"/>
          <w:sz w:val="24"/>
          <w:szCs w:val="24"/>
          <w:lang w:eastAsia="zh-CN"/>
        </w:rPr>
        <w:t>。</w:t>
      </w:r>
    </w:p>
    <w:p w14:paraId="6575C59C">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技术方向：因果推断与机器学习的结合、概念瓶颈模型、注意力机制的可视化与解释</w:t>
      </w:r>
      <w:r>
        <w:rPr>
          <w:rFonts w:hint="eastAsia" w:ascii="宋体" w:hAnsi="宋体" w:eastAsia="宋体" w:cs="宋体"/>
          <w:sz w:val="24"/>
          <w:szCs w:val="24"/>
          <w:lang w:eastAsia="zh-CN"/>
        </w:rPr>
        <w:t>。</w:t>
      </w:r>
    </w:p>
    <w:p w14:paraId="1C64C23E">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标准与规范：可解释性评估标准和监管要求将推动该领域的规范化发展</w:t>
      </w:r>
      <w:r>
        <w:rPr>
          <w:rFonts w:hint="eastAsia" w:ascii="宋体" w:hAnsi="宋体" w:eastAsia="宋体" w:cs="宋体"/>
          <w:sz w:val="24"/>
          <w:szCs w:val="24"/>
          <w:lang w:eastAsia="zh-CN"/>
        </w:rPr>
        <w:t>。</w:t>
      </w:r>
    </w:p>
    <w:p w14:paraId="7BB95E89">
      <w:pPr>
        <w:spacing w:line="360" w:lineRule="auto"/>
        <w:rPr>
          <w:rFonts w:hint="eastAsia" w:ascii="宋体" w:hAnsi="宋体" w:eastAsia="宋体" w:cs="宋体"/>
          <w:sz w:val="24"/>
          <w:szCs w:val="24"/>
        </w:rPr>
      </w:pPr>
      <w:r>
        <w:rPr>
          <w:rFonts w:hint="eastAsia" w:ascii="宋体" w:hAnsi="宋体" w:eastAsia="宋体" w:cs="宋体"/>
          <w:sz w:val="24"/>
          <w:szCs w:val="24"/>
        </w:rPr>
        <w:t>5.3.3 模型轻量化与边缘智能</w:t>
      </w:r>
    </w:p>
    <w:p w14:paraId="0A4DBDC9">
      <w:pPr>
        <w:spacing w:line="360" w:lineRule="auto"/>
        <w:rPr>
          <w:rFonts w:hint="eastAsia" w:ascii="宋体" w:hAnsi="宋体" w:eastAsia="宋体" w:cs="宋体"/>
          <w:sz w:val="24"/>
          <w:szCs w:val="24"/>
        </w:rPr>
      </w:pPr>
      <w:r>
        <w:rPr>
          <w:rFonts w:hint="eastAsia" w:ascii="宋体" w:hAnsi="宋体" w:eastAsia="宋体" w:cs="宋体"/>
          <w:sz w:val="24"/>
          <w:szCs w:val="24"/>
        </w:rPr>
        <w:t>在物联网和移动终端广泛部署的背景下，模型轻量化成为重要趋势：</w:t>
      </w:r>
    </w:p>
    <w:p w14:paraId="0168D5BC">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技术方向：知识蒸馏、模型剪枝、量化、神经架构搜索等技术将持续受到关注</w:t>
      </w:r>
      <w:r>
        <w:rPr>
          <w:rFonts w:hint="eastAsia" w:ascii="宋体" w:hAnsi="宋体" w:eastAsia="宋体" w:cs="宋体"/>
          <w:sz w:val="24"/>
          <w:szCs w:val="24"/>
          <w:lang w:eastAsia="zh-CN"/>
        </w:rPr>
        <w:t>。</w:t>
      </w:r>
    </w:p>
    <w:p w14:paraId="78080AB9">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新兴范式：TinyML（微型机器学习）将推动机器学习模型在资源受限设备上的部署</w:t>
      </w:r>
      <w:r>
        <w:rPr>
          <w:rFonts w:hint="eastAsia" w:ascii="宋体" w:hAnsi="宋体" w:eastAsia="宋体" w:cs="宋体"/>
          <w:sz w:val="24"/>
          <w:szCs w:val="24"/>
          <w:lang w:eastAsia="zh-CN"/>
        </w:rPr>
        <w:t>。</w:t>
      </w:r>
    </w:p>
    <w:p w14:paraId="3AAEB5D3">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应用驱动：自动驾驶、智能安防、工业检测等实时性要求高的场景将加速边缘智能的发展</w:t>
      </w:r>
      <w:r>
        <w:rPr>
          <w:rFonts w:hint="eastAsia" w:ascii="宋体" w:hAnsi="宋体" w:eastAsia="宋体" w:cs="宋体"/>
          <w:sz w:val="24"/>
          <w:szCs w:val="24"/>
          <w:lang w:eastAsia="zh-CN"/>
        </w:rPr>
        <w:t>。</w:t>
      </w:r>
    </w:p>
    <w:p w14:paraId="3E29E50F">
      <w:pPr>
        <w:spacing w:line="360" w:lineRule="auto"/>
        <w:rPr>
          <w:rFonts w:hint="eastAsia" w:ascii="宋体" w:hAnsi="宋体" w:eastAsia="宋体" w:cs="宋体"/>
          <w:sz w:val="24"/>
          <w:szCs w:val="24"/>
        </w:rPr>
      </w:pPr>
      <w:r>
        <w:rPr>
          <w:rFonts w:hint="eastAsia" w:ascii="宋体" w:hAnsi="宋体" w:eastAsia="宋体" w:cs="宋体"/>
          <w:sz w:val="24"/>
          <w:szCs w:val="24"/>
        </w:rPr>
        <w:t>5.3.4 多模态统一与具身智能</w:t>
      </w:r>
    </w:p>
    <w:p w14:paraId="711B47E4">
      <w:pPr>
        <w:spacing w:line="360" w:lineRule="auto"/>
        <w:rPr>
          <w:rFonts w:hint="eastAsia" w:ascii="宋体" w:hAnsi="宋体" w:eastAsia="宋体" w:cs="宋体"/>
          <w:sz w:val="24"/>
          <w:szCs w:val="24"/>
        </w:rPr>
      </w:pPr>
      <w:r>
        <w:rPr>
          <w:rFonts w:hint="eastAsia" w:ascii="宋体" w:hAnsi="宋体" w:eastAsia="宋体" w:cs="宋体"/>
          <w:sz w:val="24"/>
          <w:szCs w:val="24"/>
        </w:rPr>
        <w:t>多模态学习和具身智能将是通向通用人工智能的重要路径：</w:t>
      </w:r>
    </w:p>
    <w:p w14:paraId="76EA0617">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多模态统一：以GPT-4o、Gemini为代表的多模态大模型将向更高层次的语义统一发展，实现视觉、语言、音频、视频的真正融合理解</w:t>
      </w:r>
      <w:r>
        <w:rPr>
          <w:rFonts w:hint="eastAsia" w:ascii="宋体" w:hAnsi="宋体" w:eastAsia="宋体" w:cs="宋体"/>
          <w:sz w:val="24"/>
          <w:szCs w:val="24"/>
          <w:lang w:eastAsia="zh-CN"/>
        </w:rPr>
        <w:t>。</w:t>
      </w:r>
    </w:p>
    <w:p w14:paraId="7C1F4792">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具身智能：将大模型与机器人、传感器结合，使AI具备物理世界的交互能力，成为新的研究前沿</w:t>
      </w:r>
      <w:r>
        <w:rPr>
          <w:rFonts w:hint="eastAsia" w:ascii="宋体" w:hAnsi="宋体" w:eastAsia="宋体" w:cs="宋体"/>
          <w:sz w:val="24"/>
          <w:szCs w:val="24"/>
          <w:lang w:eastAsia="zh-CN"/>
        </w:rPr>
        <w:t>。</w:t>
      </w:r>
    </w:p>
    <w:p w14:paraId="1CF08EFE">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世界模型：构建能够预测物理世界动态变化的内部模型，是实现通用人工智能的关键方向</w:t>
      </w:r>
      <w:r>
        <w:rPr>
          <w:rFonts w:hint="eastAsia" w:ascii="宋体" w:hAnsi="宋体" w:eastAsia="宋体" w:cs="宋体"/>
          <w:sz w:val="24"/>
          <w:szCs w:val="24"/>
          <w:lang w:eastAsia="zh-CN"/>
        </w:rPr>
        <w:t>。</w:t>
      </w:r>
    </w:p>
    <w:p w14:paraId="67609115">
      <w:pPr>
        <w:spacing w:line="360" w:lineRule="auto"/>
        <w:rPr>
          <w:rFonts w:hint="eastAsia" w:ascii="宋体" w:hAnsi="宋体" w:eastAsia="宋体" w:cs="宋体"/>
          <w:sz w:val="24"/>
          <w:szCs w:val="24"/>
        </w:rPr>
      </w:pPr>
      <w:r>
        <w:rPr>
          <w:rFonts w:hint="eastAsia" w:ascii="宋体" w:hAnsi="宋体" w:eastAsia="宋体" w:cs="宋体"/>
          <w:sz w:val="24"/>
          <w:szCs w:val="24"/>
        </w:rPr>
        <w:t>5.3.5 AI Agent与自主系统</w:t>
      </w:r>
    </w:p>
    <w:p w14:paraId="27757E96">
      <w:pPr>
        <w:spacing w:line="360" w:lineRule="auto"/>
        <w:rPr>
          <w:rFonts w:hint="eastAsia" w:ascii="宋体" w:hAnsi="宋体" w:eastAsia="宋体" w:cs="宋体"/>
          <w:sz w:val="24"/>
          <w:szCs w:val="24"/>
        </w:rPr>
      </w:pPr>
      <w:r>
        <w:rPr>
          <w:rFonts w:hint="eastAsia" w:ascii="宋体" w:hAnsi="宋体" w:eastAsia="宋体" w:cs="宋体"/>
          <w:sz w:val="24"/>
          <w:szCs w:val="24"/>
        </w:rPr>
        <w:t>AI Agent代表了从"工具型AI"向"伙伴型AI"的演进：</w:t>
      </w:r>
    </w:p>
    <w:p w14:paraId="6C958AF4">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技术架构：基于大模型的规划、记忆、工具使用能力将不断完善</w:t>
      </w:r>
      <w:r>
        <w:rPr>
          <w:rFonts w:hint="eastAsia" w:ascii="宋体" w:hAnsi="宋体" w:eastAsia="宋体" w:cs="宋体"/>
          <w:sz w:val="24"/>
          <w:szCs w:val="24"/>
          <w:lang w:eastAsia="zh-CN"/>
        </w:rPr>
        <w:t>。</w:t>
      </w:r>
    </w:p>
    <w:p w14:paraId="0ACFFD7B">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多Agent协作：多个AI Agent之间的协作与竞争机制研究将兴起</w:t>
      </w:r>
      <w:r>
        <w:rPr>
          <w:rFonts w:hint="eastAsia" w:ascii="宋体" w:hAnsi="宋体" w:eastAsia="宋体" w:cs="宋体"/>
          <w:sz w:val="24"/>
          <w:szCs w:val="24"/>
          <w:lang w:eastAsia="zh-CN"/>
        </w:rPr>
        <w:t>。</w:t>
      </w:r>
    </w:p>
    <w:p w14:paraId="55C6A8B2">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应用前景：自动化科研、智能编程助手、个性化教育助手等将成为重要应用方向</w:t>
      </w:r>
      <w:r>
        <w:rPr>
          <w:rFonts w:hint="eastAsia" w:ascii="宋体" w:hAnsi="宋体" w:eastAsia="宋体" w:cs="宋体"/>
          <w:sz w:val="24"/>
          <w:szCs w:val="24"/>
          <w:lang w:eastAsia="zh-CN"/>
        </w:rPr>
        <w:t>。</w:t>
      </w:r>
    </w:p>
    <w:p w14:paraId="37EC7EAD">
      <w:pPr>
        <w:spacing w:line="360" w:lineRule="auto"/>
        <w:rPr>
          <w:rFonts w:hint="eastAsia" w:ascii="宋体" w:hAnsi="宋体" w:eastAsia="宋体" w:cs="宋体"/>
          <w:sz w:val="24"/>
          <w:szCs w:val="24"/>
        </w:rPr>
      </w:pPr>
      <w:r>
        <w:rPr>
          <w:rFonts w:hint="eastAsia" w:ascii="宋体" w:hAnsi="宋体" w:eastAsia="宋体" w:cs="宋体"/>
          <w:sz w:val="24"/>
          <w:szCs w:val="24"/>
        </w:rPr>
        <w:t>5.3.6 科学智能</w:t>
      </w:r>
    </w:p>
    <w:p w14:paraId="6A5784DC">
      <w:pPr>
        <w:spacing w:line="360" w:lineRule="auto"/>
        <w:rPr>
          <w:rFonts w:hint="eastAsia" w:ascii="宋体" w:hAnsi="宋体" w:eastAsia="宋体" w:cs="宋体"/>
          <w:sz w:val="24"/>
          <w:szCs w:val="24"/>
        </w:rPr>
      </w:pPr>
      <w:r>
        <w:rPr>
          <w:rFonts w:hint="eastAsia" w:ascii="宋体" w:hAnsi="宋体" w:eastAsia="宋体" w:cs="宋体"/>
          <w:sz w:val="24"/>
          <w:szCs w:val="24"/>
        </w:rPr>
        <w:t>机器学习与基础科学的深度融合将成为未来最具颠覆性的方向之一：</w:t>
      </w:r>
    </w:p>
    <w:p w14:paraId="24E5CD18">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蛋白质结构预测：AlphaFold的成功标志着AI在生命科学领域的突破，类似方法将扩展到更多生物分子</w:t>
      </w:r>
      <w:r>
        <w:rPr>
          <w:rFonts w:hint="eastAsia" w:ascii="宋体" w:hAnsi="宋体" w:eastAsia="宋体" w:cs="宋体"/>
          <w:sz w:val="24"/>
          <w:szCs w:val="24"/>
          <w:lang w:eastAsia="zh-CN"/>
        </w:rPr>
        <w:t>。</w:t>
      </w:r>
    </w:p>
    <w:p w14:paraId="5C94D87B">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rPr>
        <w:t>材料发现：机器学习加速新材料的发现和优化。胡瑞祎</w:t>
      </w:r>
      <w:r>
        <w:rPr>
          <w:rFonts w:hint="eastAsia" w:ascii="宋体" w:hAnsi="宋体" w:eastAsia="宋体" w:cs="宋体"/>
          <w:sz w:val="24"/>
          <w:szCs w:val="24"/>
          <w:lang w:val="en-US" w:eastAsia="zh-CN"/>
        </w:rPr>
        <w:t>等人</w:t>
      </w:r>
      <w:r>
        <w:rPr>
          <w:rFonts w:hint="eastAsia" w:ascii="宋体" w:hAnsi="宋体" w:eastAsia="宋体" w:cs="宋体"/>
          <w:sz w:val="24"/>
          <w:szCs w:val="24"/>
        </w:rPr>
        <w:t>基于Materials Project数据库，采用随机森林回归模型预测3000余种半导体材料的弹性常数（R²达0.86）及体积模量、剪切模量（R²&gt;0.89），并利用欧几里得神经网络预测介电张量（训练集R²=0.96），展示了数据驱动方法在材料性质预测中的高效性与准确性。</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_Ref17591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[5]</w:t>
      </w:r>
      <w:r>
        <w:rPr>
          <w:rFonts w:hint="eastAsia" w:ascii="宋体" w:hAnsi="宋体" w:eastAsia="宋体" w:cs="宋体"/>
          <w:sz w:val="24"/>
          <w:szCs w:val="24"/>
          <w:vertAlign w:val="superscript"/>
          <w:lang w:eastAsia="zh-CN"/>
        </w:rPr>
        <w:fldChar w:fldCharType="end"/>
      </w:r>
    </w:p>
    <w:p w14:paraId="56724F6A">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数学定理证明：AI辅助数学证明和猜想生成将成为新的研究热点</w:t>
      </w:r>
      <w:r>
        <w:rPr>
          <w:rFonts w:hint="eastAsia" w:ascii="宋体" w:hAnsi="宋体" w:eastAsia="宋体" w:cs="宋体"/>
          <w:sz w:val="24"/>
          <w:szCs w:val="24"/>
          <w:lang w:eastAsia="zh-CN"/>
        </w:rPr>
        <w:t>。</w:t>
      </w:r>
    </w:p>
    <w:p w14:paraId="3A27C9A8">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气候模拟：机器学习与物理模型结合，提升气候预测和极端天气预警能力</w:t>
      </w:r>
      <w:r>
        <w:rPr>
          <w:rFonts w:hint="eastAsia" w:ascii="宋体" w:hAnsi="宋体" w:eastAsia="宋体" w:cs="宋体"/>
          <w:sz w:val="24"/>
          <w:szCs w:val="24"/>
          <w:lang w:eastAsia="zh-CN"/>
        </w:rPr>
        <w:t>。</w:t>
      </w:r>
    </w:p>
    <w:p w14:paraId="5756066D">
      <w:pPr>
        <w:spacing w:line="360" w:lineRule="auto"/>
        <w:rPr>
          <w:rFonts w:hint="eastAsia" w:ascii="宋体" w:hAnsi="宋体" w:eastAsia="宋体" w:cs="宋体"/>
          <w:sz w:val="24"/>
          <w:szCs w:val="24"/>
        </w:rPr>
      </w:pPr>
    </w:p>
    <w:p w14:paraId="3F8B553C">
      <w:pPr>
        <w:spacing w:line="360" w:lineRule="auto"/>
        <w:rPr>
          <w:rFonts w:hint="eastAsia" w:ascii="宋体" w:hAnsi="宋体" w:eastAsia="宋体" w:cs="宋体"/>
          <w:color w:val="auto"/>
          <w:sz w:val="24"/>
          <w:szCs w:val="24"/>
        </w:rPr>
      </w:pPr>
    </w:p>
    <w:p w14:paraId="5CFDF997">
      <w:pPr>
        <w:numPr>
          <w:ilvl w:val="0"/>
          <w:numId w:val="1"/>
        </w:numPr>
        <w:spacing w:line="360" w:lineRule="auto"/>
        <w:ind w:left="425" w:leftChars="0" w:hanging="425" w:firstLineChars="0"/>
        <w:rPr>
          <w:rFonts w:hint="eastAsia" w:ascii="宋体" w:hAnsi="宋体" w:eastAsia="宋体" w:cs="宋体"/>
          <w:color w:val="auto"/>
          <w:sz w:val="24"/>
          <w:szCs w:val="24"/>
        </w:rPr>
      </w:pPr>
      <w:bookmarkStart w:id="0" w:name="_Ref17219"/>
      <w:r>
        <w:rPr>
          <w:rFonts w:hint="eastAsia" w:ascii="宋体" w:hAnsi="宋体" w:eastAsia="宋体" w:cs="宋体"/>
          <w:color w:val="auto"/>
          <w:sz w:val="24"/>
          <w:szCs w:val="24"/>
        </w:rPr>
        <w:t>Du K, Peng R, Xiao G, Qu Y, Han L, Hong J. Machine learning-based transcriptomic analysis of differentially expressed genes in the epithelium and stroma of keratoconus. Hum Genomics. 2026 May 8. doi: 10.1186/s40246-026-00980-5. Epub ahead of print. PMID: 42104443.</w:t>
      </w:r>
      <w:bookmarkEnd w:id="0"/>
    </w:p>
    <w:p w14:paraId="7B9DEAC5">
      <w:pPr>
        <w:numPr>
          <w:ilvl w:val="0"/>
          <w:numId w:val="1"/>
        </w:numPr>
        <w:spacing w:line="360" w:lineRule="auto"/>
        <w:ind w:left="425" w:leftChars="0" w:hanging="425" w:firstLineChars="0"/>
        <w:rPr>
          <w:rFonts w:hint="eastAsia" w:ascii="宋体" w:hAnsi="宋体" w:eastAsia="宋体" w:cs="宋体"/>
          <w:color w:val="auto"/>
          <w:sz w:val="24"/>
          <w:szCs w:val="24"/>
        </w:rPr>
      </w:pPr>
      <w:bookmarkStart w:id="1" w:name="_Ref17435"/>
      <w:r>
        <w:rPr>
          <w:rFonts w:hint="eastAsia" w:ascii="宋体" w:hAnsi="宋体" w:eastAsia="宋体" w:cs="宋体"/>
          <w:i w:val="0"/>
          <w:iCs w:val="0"/>
          <w:caps w:val="0"/>
          <w:color w:val="auto"/>
          <w:spacing w:val="0"/>
          <w:sz w:val="24"/>
          <w:szCs w:val="24"/>
          <w:shd w:val="clear" w:fill="FFFFFF"/>
        </w:rPr>
        <w:t>巴振宁,赵靖轩,吕玲慧,等.融合确定性物理模拟和</w:t>
      </w:r>
      <w:bookmarkStart w:id="5" w:name="_GoBack"/>
      <w:bookmarkEnd w:id="5"/>
      <w:r>
        <w:rPr>
          <w:rFonts w:hint="eastAsia" w:ascii="宋体" w:hAnsi="宋体" w:eastAsia="宋体" w:cs="宋体"/>
          <w:i w:val="0"/>
          <w:iCs w:val="0"/>
          <w:caps w:val="0"/>
          <w:color w:val="auto"/>
          <w:spacing w:val="0"/>
          <w:sz w:val="24"/>
          <w:szCs w:val="24"/>
          <w:shd w:val="clear" w:fill="FFFFFF"/>
        </w:rPr>
        <w:t>机器学习的设定地震宽频带三维地震动参数预测方法[J].应用基础与工程科学学报,2026,34(2):545-557.DOI:10.16058/j.issn.1005-0930.2026.02.021.</w:t>
      </w:r>
      <w:bookmarkEnd w:id="1"/>
    </w:p>
    <w:p w14:paraId="2BE4E8B7">
      <w:pPr>
        <w:numPr>
          <w:ilvl w:val="0"/>
          <w:numId w:val="1"/>
        </w:numPr>
        <w:spacing w:line="360" w:lineRule="auto"/>
        <w:ind w:left="425" w:leftChars="0" w:hanging="425" w:firstLineChars="0"/>
        <w:rPr>
          <w:rFonts w:hint="eastAsia" w:ascii="宋体" w:hAnsi="宋体" w:eastAsia="宋体" w:cs="宋体"/>
          <w:color w:val="auto"/>
          <w:sz w:val="24"/>
          <w:szCs w:val="24"/>
        </w:rPr>
      </w:pPr>
      <w:bookmarkStart w:id="2" w:name="_Ref17490"/>
      <w:r>
        <w:rPr>
          <w:rFonts w:hint="eastAsia" w:ascii="宋体" w:hAnsi="宋体" w:eastAsia="宋体" w:cs="宋体"/>
          <w:i w:val="0"/>
          <w:iCs w:val="0"/>
          <w:caps w:val="0"/>
          <w:color w:val="auto"/>
          <w:spacing w:val="0"/>
          <w:sz w:val="24"/>
          <w:szCs w:val="24"/>
          <w:shd w:val="clear" w:fill="FFFFFF"/>
        </w:rPr>
        <w:t>汪欣,张水波,李鹏.国际工程项目供应链延误风险预测研究：基于因果推断与机器学习结合的方法[J].工程管理学报,2026,40(2):112-119.DOI:10.13991/j.cnki.jem.2026.02.018.</w:t>
      </w:r>
      <w:bookmarkEnd w:id="2"/>
    </w:p>
    <w:p w14:paraId="788842CD">
      <w:pPr>
        <w:numPr>
          <w:ilvl w:val="0"/>
          <w:numId w:val="1"/>
        </w:numPr>
        <w:spacing w:line="360" w:lineRule="auto"/>
        <w:ind w:left="425" w:leftChars="0" w:hanging="425" w:firstLineChars="0"/>
        <w:rPr>
          <w:rFonts w:hint="eastAsia" w:ascii="宋体" w:hAnsi="宋体" w:eastAsia="宋体" w:cs="宋体"/>
          <w:color w:val="auto"/>
          <w:sz w:val="24"/>
          <w:szCs w:val="24"/>
        </w:rPr>
      </w:pPr>
      <w:bookmarkStart w:id="3" w:name="_Ref17546"/>
      <w:r>
        <w:rPr>
          <w:rFonts w:hint="eastAsia" w:ascii="宋体" w:hAnsi="宋体" w:eastAsia="宋体" w:cs="宋体"/>
          <w:i w:val="0"/>
          <w:iCs w:val="0"/>
          <w:caps w:val="0"/>
          <w:color w:val="auto"/>
          <w:spacing w:val="0"/>
          <w:sz w:val="24"/>
          <w:szCs w:val="24"/>
          <w:shd w:val="clear" w:fill="FFFFFF"/>
        </w:rPr>
        <w:t>李旻烜.机器学习视角下基于社会网络分析与演化的大群体决策模型及应用[D].武汉理工大学,2023.DOI:10.27381/d.cnki.gwlgu.2023.001942.</w:t>
      </w:r>
      <w:bookmarkEnd w:id="3"/>
    </w:p>
    <w:p w14:paraId="1B92CB29">
      <w:pPr>
        <w:numPr>
          <w:ilvl w:val="0"/>
          <w:numId w:val="1"/>
        </w:numPr>
        <w:spacing w:line="360" w:lineRule="auto"/>
        <w:ind w:left="425" w:leftChars="0" w:hanging="425" w:firstLineChars="0"/>
        <w:rPr>
          <w:rFonts w:hint="eastAsia" w:ascii="宋体" w:hAnsi="宋体" w:eastAsia="宋体" w:cs="宋体"/>
          <w:color w:val="auto"/>
          <w:sz w:val="24"/>
          <w:szCs w:val="24"/>
        </w:rPr>
      </w:pPr>
      <w:bookmarkStart w:id="4" w:name="_Ref17591"/>
      <w:r>
        <w:rPr>
          <w:rFonts w:hint="eastAsia" w:ascii="宋体" w:hAnsi="宋体" w:eastAsia="宋体" w:cs="宋体"/>
          <w:i w:val="0"/>
          <w:iCs w:val="0"/>
          <w:caps w:val="0"/>
          <w:color w:val="auto"/>
          <w:spacing w:val="0"/>
          <w:sz w:val="24"/>
          <w:szCs w:val="24"/>
          <w:shd w:val="clear" w:fill="FFFFFF"/>
        </w:rPr>
        <w:t>胡瑞祎.基于机器学习预测半导体材料弹性及介电性质[D].西安理工大学,2024.DOI:10.27398/d.cnki.gxalu.2024.000286.</w:t>
      </w:r>
      <w:bookmarkEnd w:id="4"/>
    </w:p>
    <w:p w14:paraId="0CA8EDAB">
      <w:pPr>
        <w:spacing w:line="360" w:lineRule="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383B24"/>
    <w:multiLevelType w:val="singleLevel"/>
    <w:tmpl w:val="17383B24"/>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9D0187"/>
    <w:rsid w:val="0AA31554"/>
    <w:rsid w:val="1AA22F0B"/>
    <w:rsid w:val="2E8928E3"/>
    <w:rsid w:val="457D1E6B"/>
    <w:rsid w:val="4C506540"/>
    <w:rsid w:val="55A86E92"/>
    <w:rsid w:val="61003A6A"/>
    <w:rsid w:val="695F681B"/>
    <w:rsid w:val="6C197AD3"/>
    <w:rsid w:val="70733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4250</Words>
  <Characters>4949</Characters>
  <Lines>0</Lines>
  <Paragraphs>0</Paragraphs>
  <TotalTime>33</TotalTime>
  <ScaleCrop>false</ScaleCrop>
  <LinksUpToDate>false</LinksUpToDate>
  <CharactersWithSpaces>5002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2026-05-24T07:36:00Z</dcterms:created>
  <dc:creator>asus</dc:creator>
  <cp:lastModifiedBy>王峻涵</cp:lastModifiedBy>
  <dcterms:modified xsi:type="dcterms:W3CDTF">2026-05-30T08:51:33Z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eyJoZGlkIjoiZTY2ZDFkMzBiYzc5MzgyMTdhZmJkODBkMWExYzc5NjQiLCJ1c2VySWQiOiIxNzI0NDA5OTY1In0=</vt:lpwstr>
  </property>
  <property fmtid="{D5CDD505-2E9C-101B-9397-08002B2CF9AE}" pid="4" name="ICV">
    <vt:lpwstr>B89B45B049034B84A9F067B2F867BCEA_12</vt:lpwstr>
  </property>
</Properties>
</file>