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68F0F7">
      <w:pPr>
        <w:jc w:val="center"/>
        <w:rPr>
          <w:rFonts w:hint="eastAsia"/>
          <w:sz w:val="56"/>
          <w:szCs w:val="56"/>
          <w:lang w:val="en-US" w:eastAsia="zh-CN"/>
        </w:rPr>
      </w:pPr>
      <w:r>
        <w:rPr>
          <w:rFonts w:hint="eastAsia"/>
          <w:sz w:val="56"/>
          <w:szCs w:val="56"/>
          <w:lang w:val="en-US" w:eastAsia="zh-CN"/>
        </w:rPr>
        <w:t>各库区标识牌摘要</w:t>
      </w:r>
    </w:p>
    <w:p w14:paraId="388124AB">
      <w:pPr>
        <w:numPr>
          <w:ilvl w:val="0"/>
          <w:numId w:val="2"/>
        </w:numPr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杂品库</w:t>
      </w:r>
    </w:p>
    <w:p w14:paraId="78D1B742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（一）大门</w:t>
      </w:r>
    </w:p>
    <w:p w14:paraId="5AED156D">
      <w:pPr>
        <w:pStyle w:val="3"/>
        <w:widowControl/>
        <w:spacing w:beforeAutospacing="0" w:afterAutospacing="0" w:line="560" w:lineRule="exact"/>
        <w:ind w:firstLine="640" w:firstLineChars="200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</w:rPr>
        <w:t>1.粘贴内容：</w:t>
      </w: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</w:rPr>
        <w:t>机动车辆禁止入内、禁止烟火、禁止翻越</w:t>
      </w: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  <w:lang w:eastAsia="zh-CN"/>
        </w:rPr>
        <w:t>、禁止携带火种</w:t>
      </w:r>
      <w:r>
        <w:rPr>
          <w:rFonts w:hint="eastAsia" w:ascii="Times New Roman" w:hAnsi="Times New Roman" w:eastAsia="仿宋_GB2312" w:cs="Times New Roman"/>
          <w:color w:val="000000"/>
          <w:sz w:val="32"/>
          <w:szCs w:val="32"/>
        </w:rPr>
        <w:t>。</w:t>
      </w:r>
    </w:p>
    <w:p w14:paraId="59E7A70E">
      <w:pPr>
        <w:pStyle w:val="3"/>
        <w:widowControl/>
        <w:spacing w:beforeAutospacing="0" w:afterAutospacing="0" w:line="560" w:lineRule="exact"/>
        <w:ind w:firstLine="640" w:firstLineChars="200"/>
        <w:rPr>
          <w:rFonts w:hint="default" w:ascii="Times New Roman" w:hAnsi="Times New Roman" w:eastAsia="仿宋_GB2312" w:cs="Times New Roman"/>
          <w:color w:val="000000"/>
          <w:sz w:val="32"/>
          <w:szCs w:val="32"/>
        </w:rPr>
      </w:pPr>
      <w:r>
        <w:rPr>
          <w:rFonts w:hint="eastAsia" w:ascii="Times New Roman" w:hAnsi="Times New Roman" w:eastAsia="仿宋_GB2312" w:cs="Times New Roman"/>
          <w:color w:val="000000"/>
          <w:sz w:val="32"/>
          <w:szCs w:val="32"/>
        </w:rPr>
        <w:t>2.粘贴内容：</w:t>
      </w:r>
      <w:r>
        <w:rPr>
          <w:rFonts w:hint="eastAsia" w:ascii="Times New Roman" w:hAnsi="Times New Roman" w:eastAsia="仿宋_GB2312" w:cs="Times New Roman"/>
          <w:b/>
          <w:bCs/>
          <w:color w:val="000000"/>
          <w:sz w:val="32"/>
          <w:szCs w:val="32"/>
        </w:rPr>
        <w:t>安全责任信息牌</w:t>
      </w:r>
    </w:p>
    <w:p w14:paraId="2DACBB7C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（二）围栏</w:t>
      </w:r>
    </w:p>
    <w:p w14:paraId="24D22963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1.粘贴内容：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禁止翻越</w:t>
      </w:r>
    </w:p>
    <w:p w14:paraId="4766E876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（三）围墙</w:t>
      </w:r>
    </w:p>
    <w:p w14:paraId="3C64E361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</w:p>
    <w:p w14:paraId="108A4369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（四）杂品库各房间门</w:t>
      </w:r>
    </w:p>
    <w:p w14:paraId="7E124F77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  <w:highlight w:val="none"/>
        </w:rPr>
      </w:pPr>
      <w:r>
        <w:rPr>
          <w:rFonts w:hint="eastAsia" w:ascii="Times New Roman" w:hAnsi="Times New Roman" w:eastAsia="仿宋_GB2312" w:cs="Times New Roman"/>
          <w:sz w:val="32"/>
          <w:szCs w:val="32"/>
          <w:highlight w:val="none"/>
        </w:rPr>
        <w:t>1.粘贴内容：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highlight w:val="none"/>
        </w:rPr>
        <w:t>MSDS摘要</w:t>
      </w:r>
    </w:p>
    <w:p w14:paraId="3182C1BE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2.粘贴内容：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房间名称信息</w:t>
      </w:r>
    </w:p>
    <w:p w14:paraId="49B354DF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（五）油品、油脂存储间</w:t>
      </w:r>
    </w:p>
    <w:p w14:paraId="5AF787E9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禁止用水灭火</w:t>
      </w:r>
    </w:p>
    <w:p w14:paraId="0A6F38C9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（六）有毒物品（如除草剂）存储间</w:t>
      </w:r>
    </w:p>
    <w:p w14:paraId="040A1169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当心中毒</w:t>
      </w:r>
    </w:p>
    <w:p w14:paraId="1C481181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（七）压缩气体存储间</w:t>
      </w:r>
    </w:p>
    <w:p w14:paraId="0C551E7F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当心窒息</w:t>
      </w:r>
    </w:p>
    <w:p w14:paraId="1EA6397D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（八）消防沙箱</w:t>
      </w:r>
    </w:p>
    <w:p w14:paraId="665B127E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消防沙箱</w:t>
      </w:r>
    </w:p>
    <w:p w14:paraId="1686B3E3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（九）库区单体建筑墙面</w:t>
      </w:r>
    </w:p>
    <w:p w14:paraId="5B698F38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注意通风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</w:p>
    <w:p w14:paraId="05D80B1B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（九）钢爬梯</w:t>
      </w:r>
    </w:p>
    <w:p w14:paraId="5432D453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禁止攀登、雷雨天气禁止攀登</w:t>
      </w:r>
    </w:p>
    <w:p w14:paraId="27298B50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（十）防雷标识</w:t>
      </w:r>
    </w:p>
    <w:p w14:paraId="096A7C30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雷雨天气禁止靠近</w:t>
      </w:r>
    </w:p>
    <w:p w14:paraId="02D36415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（十一）库区内配电箱</w:t>
      </w:r>
    </w:p>
    <w:p w14:paraId="0AF03210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当心触电</w:t>
      </w:r>
    </w:p>
    <w:p w14:paraId="5577C29C">
      <w:pPr>
        <w:spacing w:line="560" w:lineRule="exact"/>
        <w:ind w:firstLine="644" w:firstLineChars="200"/>
        <w:rPr>
          <w:rFonts w:hint="eastAsia"/>
          <w:sz w:val="48"/>
          <w:szCs w:val="48"/>
          <w:lang w:val="en-US" w:eastAsia="zh-CN"/>
        </w:rPr>
      </w:pPr>
      <w:r>
        <w:rPr>
          <w:rFonts w:hint="eastAsia" w:ascii="黑体" w:hAnsi="黑体" w:eastAsia="黑体" w:cs="黑体"/>
          <w:snapToGrid w:val="0"/>
          <w:color w:val="000000"/>
          <w:spacing w:val="6"/>
          <w:kern w:val="0"/>
          <w:sz w:val="31"/>
          <w:szCs w:val="31"/>
          <w:lang w:eastAsia="zh-CN"/>
        </w:rPr>
        <w:tab/>
      </w:r>
      <w:r>
        <w:rPr>
          <w:rFonts w:hint="eastAsia"/>
          <w:sz w:val="48"/>
          <w:szCs w:val="48"/>
          <w:lang w:val="en-US" w:eastAsia="zh-CN"/>
        </w:rPr>
        <w:t>二、材料棚</w:t>
      </w:r>
    </w:p>
    <w:p w14:paraId="027E549D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（一）大门口</w:t>
      </w:r>
    </w:p>
    <w:p w14:paraId="75637B5A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1.粘贴内容：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安全责任信息牌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禁止翻越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、限速、限高、限宽</w:t>
      </w:r>
    </w:p>
    <w:p w14:paraId="2E217E27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（二）围墙（围栏）</w:t>
      </w:r>
    </w:p>
    <w:p w14:paraId="24231F60">
      <w:pPr>
        <w:spacing w:line="560" w:lineRule="exact"/>
        <w:ind w:firstLine="640" w:firstLineChars="200"/>
        <w:rPr>
          <w:rFonts w:hint="eastAsia" w:ascii="楷体_GB2312" w:hAnsi="宋体" w:eastAsia="仿宋_GB2312" w:cs="楷体_GB2312"/>
          <w:color w:val="000000"/>
          <w:sz w:val="32"/>
          <w:szCs w:val="32"/>
          <w:lang w:val="zh-CN" w:eastAsia="zh-CN" w:bidi="ar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、禁止翻越</w:t>
      </w:r>
    </w:p>
    <w:p w14:paraId="4410E180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（三）起重机停放位置</w:t>
      </w:r>
    </w:p>
    <w:p w14:paraId="0737AB25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当心吊物</w:t>
      </w:r>
    </w:p>
    <w:p w14:paraId="41330C80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（四）防雷标识</w:t>
      </w:r>
    </w:p>
    <w:p w14:paraId="4B718DC1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雷雨天气禁止靠近</w:t>
      </w:r>
    </w:p>
    <w:p w14:paraId="632D9867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（五）库区内配电箱</w:t>
      </w:r>
    </w:p>
    <w:p w14:paraId="32992D55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当心触电</w:t>
      </w:r>
    </w:p>
    <w:p w14:paraId="25E113B7">
      <w:pPr>
        <w:spacing w:line="560" w:lineRule="exact"/>
        <w:ind w:firstLine="960" w:firstLineChars="200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三、物资总库</w:t>
      </w:r>
    </w:p>
    <w:p w14:paraId="15A2B9A5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（一）大门口</w:t>
      </w:r>
    </w:p>
    <w:p w14:paraId="373A1CCF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1.粘贴内容：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安全责任信息牌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、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、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限速、限高、限宽</w:t>
      </w:r>
    </w:p>
    <w:p w14:paraId="291724BA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（二）外侧围墙</w:t>
      </w:r>
    </w:p>
    <w:p w14:paraId="71E401A9">
      <w:pPr>
        <w:spacing w:line="560" w:lineRule="exact"/>
        <w:ind w:firstLine="640" w:firstLineChars="200"/>
        <w:rPr>
          <w:rFonts w:hint="eastAsia" w:ascii="楷体_GB2312" w:hAnsi="宋体" w:eastAsia="仿宋_GB2312" w:cs="楷体_GB2312"/>
          <w:color w:val="000000"/>
          <w:sz w:val="32"/>
          <w:szCs w:val="32"/>
          <w:lang w:val="zh-CN" w:eastAsia="zh-CN" w:bidi="ar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</w:rPr>
        <w:t>禁止烟火</w:t>
      </w:r>
    </w:p>
    <w:p w14:paraId="1F6EE4FC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（三）防雷标识</w:t>
      </w:r>
    </w:p>
    <w:p w14:paraId="755B7DDF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雷雨天气禁止靠近、防雷安全警示牌</w:t>
      </w:r>
    </w:p>
    <w:p w14:paraId="1C30C790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（四）登高车</w:t>
      </w:r>
    </w:p>
    <w:p w14:paraId="7B856E51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当心坠落、必须佩戴安全帽、必须系安全带</w:t>
      </w:r>
    </w:p>
    <w:p w14:paraId="469F6313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（五）</w:t>
      </w:r>
      <w:r>
        <w:rPr>
          <w:rFonts w:hint="eastAsia" w:ascii="Times New Roman" w:hAnsi="Times New Roman" w:eastAsia="仿宋_GB2312" w:cs="Times New Roman"/>
          <w:sz w:val="32"/>
          <w:szCs w:val="32"/>
        </w:rPr>
        <w:t>垂直电梯</w:t>
      </w:r>
    </w:p>
    <w:p w14:paraId="4B988894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当心夹手</w:t>
      </w:r>
    </w:p>
    <w:p w14:paraId="14ECD297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（六）悬臂货架</w:t>
      </w:r>
    </w:p>
    <w:p w14:paraId="19A7987E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当心碰头</w:t>
      </w:r>
    </w:p>
    <w:p w14:paraId="1185E956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（七）厂内运输设备存放区</w:t>
      </w:r>
    </w:p>
    <w:p w14:paraId="0C2FB125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当心叉车</w:t>
      </w:r>
    </w:p>
    <w:p w14:paraId="70D0261F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（八）自动化立体仓库</w:t>
      </w:r>
    </w:p>
    <w:p w14:paraId="04C6385C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  <w:lang w:eastAsia="zh-CN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必须佩戴安全帽</w:t>
      </w:r>
    </w:p>
    <w:p w14:paraId="164105FF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（九）库区内配电箱</w:t>
      </w:r>
    </w:p>
    <w:p w14:paraId="078388D2">
      <w:pPr>
        <w:spacing w:line="560" w:lineRule="exact"/>
        <w:ind w:firstLine="640" w:firstLineChars="200"/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当心触电</w:t>
      </w:r>
    </w:p>
    <w:p w14:paraId="341B1B26">
      <w:pPr>
        <w:pStyle w:val="3"/>
        <w:widowControl/>
        <w:spacing w:beforeAutospacing="0" w:afterAutospacing="0" w:line="560" w:lineRule="exact"/>
        <w:ind w:firstLine="640" w:firstLineChars="200"/>
        <w:jc w:val="both"/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</w:pPr>
      <w:r>
        <w:rPr>
          <w:rFonts w:hint="eastAsia" w:ascii="楷体_GB2312" w:hAnsi="宋体" w:eastAsia="楷体_GB2312" w:cs="楷体_GB2312"/>
          <w:color w:val="000000"/>
          <w:sz w:val="32"/>
          <w:szCs w:val="32"/>
          <w:lang w:val="zh-CN" w:bidi="ar"/>
        </w:rPr>
        <w:t>（十）钢爬梯</w:t>
      </w:r>
    </w:p>
    <w:p w14:paraId="51E84231">
      <w:pPr>
        <w:spacing w:line="560" w:lineRule="exact"/>
        <w:ind w:firstLine="640" w:firstLineChars="200"/>
        <w:rPr>
          <w:rFonts w:hint="default" w:ascii="Times New Roman" w:hAnsi="Times New Roman" w:eastAsia="仿宋_GB2312" w:cs="Times New Roman"/>
          <w:sz w:val="32"/>
          <w:szCs w:val="32"/>
        </w:rPr>
      </w:pPr>
      <w:r>
        <w:rPr>
          <w:rFonts w:hint="eastAsia" w:ascii="Times New Roman" w:hAnsi="Times New Roman" w:eastAsia="仿宋_GB2312" w:cs="Times New Roman"/>
          <w:sz w:val="32"/>
          <w:szCs w:val="32"/>
        </w:rPr>
        <w:t>粘贴内容：</w:t>
      </w:r>
      <w:r>
        <w:rPr>
          <w:rFonts w:hint="eastAsia" w:ascii="Times New Roman" w:hAnsi="Times New Roman" w:eastAsia="仿宋_GB2312" w:cs="Times New Roman"/>
          <w:b/>
          <w:sz w:val="32"/>
          <w:szCs w:val="32"/>
          <w:lang w:eastAsia="zh-CN"/>
        </w:rPr>
        <w:t>禁止攀登、雷雨天气禁止攀登</w:t>
      </w:r>
    </w:p>
    <w:p w14:paraId="6BB78AAA">
      <w:pPr>
        <w:numPr>
          <w:numId w:val="0"/>
        </w:numPr>
        <w:jc w:val="both"/>
        <w:rPr>
          <w:rFonts w:hint="default"/>
          <w:sz w:val="48"/>
          <w:szCs w:val="48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楷体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8F9B646"/>
    <w:multiLevelType w:val="multilevel"/>
    <w:tmpl w:val="58F9B646"/>
    <w:lvl w:ilvl="0" w:tentative="0">
      <w:start w:val="1"/>
      <w:numFmt w:val="chineseCounting"/>
      <w:suff w:val="nothing"/>
      <w:lvlText w:val="%1、"/>
      <w:lvlJc w:val="left"/>
      <w:pPr>
        <w:tabs>
          <w:tab w:val="left" w:pos="0"/>
        </w:tabs>
        <w:ind w:left="0" w:firstLine="0"/>
      </w:pPr>
      <w:rPr>
        <w:rFonts w:hint="default"/>
        <w:u w:val="none" w:color="auto"/>
      </w:rPr>
    </w:lvl>
    <w:lvl w:ilvl="1" w:tentative="0">
      <w:start w:val="1"/>
      <w:numFmt w:val="chineseCounting"/>
      <w:pStyle w:val="2"/>
      <w:suff w:val="nothing"/>
      <w:lvlText w:val="（%2）"/>
      <w:lvlJc w:val="left"/>
      <w:pPr>
        <w:ind w:left="142" w:firstLine="0"/>
      </w:pPr>
      <w:rPr>
        <w:rFonts w:hint="default"/>
        <w:u w:val="none" w:color="auto"/>
      </w:rPr>
    </w:lvl>
    <w:lvl w:ilvl="2" w:tentative="0">
      <w:start w:val="1"/>
      <w:numFmt w:val="decimal"/>
      <w:suff w:val="nothing"/>
      <w:lvlText w:val="%3．"/>
      <w:lvlJc w:val="left"/>
      <w:pPr>
        <w:ind w:left="0" w:firstLine="400"/>
      </w:pPr>
      <w:rPr>
        <w:rFonts w:hint="default"/>
        <w:u w:val="none" w:color="auto"/>
      </w:rPr>
    </w:lvl>
    <w:lvl w:ilvl="3" w:tentative="0">
      <w:start w:val="1"/>
      <w:numFmt w:val="decimal"/>
      <w:suff w:val="nothing"/>
      <w:lvlText w:val="（%4）"/>
      <w:lvlJc w:val="left"/>
      <w:pPr>
        <w:ind w:left="0" w:firstLine="402"/>
      </w:pPr>
      <w:rPr>
        <w:rFonts w:hint="default"/>
        <w:u w:val="none" w:color="auto"/>
      </w:rPr>
    </w:lvl>
    <w:lvl w:ilvl="4" w:tentative="0">
      <w:start w:val="1"/>
      <w:numFmt w:val="decimalEnclosedCircleChinese"/>
      <w:suff w:val="nothing"/>
      <w:lvlText w:val="%5"/>
      <w:lvlJc w:val="left"/>
      <w:pPr>
        <w:ind w:left="0" w:firstLine="402"/>
      </w:pPr>
      <w:rPr>
        <w:rFonts w:hint="default"/>
        <w:u w:val="none" w:color="auto"/>
      </w:rPr>
    </w:lvl>
    <w:lvl w:ilvl="5" w:tentative="0">
      <w:start w:val="1"/>
      <w:numFmt w:val="decimal"/>
      <w:suff w:val="nothing"/>
      <w:lvlText w:val="%6）"/>
      <w:lvlJc w:val="left"/>
      <w:pPr>
        <w:ind w:left="0" w:firstLine="402"/>
      </w:pPr>
      <w:rPr>
        <w:rFonts w:hint="default"/>
        <w:u w:val="none" w:color="auto"/>
      </w:rPr>
    </w:lvl>
    <w:lvl w:ilvl="6" w:tentative="0">
      <w:start w:val="1"/>
      <w:numFmt w:val="lowerLetter"/>
      <w:suff w:val="nothing"/>
      <w:lvlText w:val="%7．"/>
      <w:lvlJc w:val="left"/>
      <w:pPr>
        <w:ind w:left="0" w:firstLine="402"/>
      </w:pPr>
      <w:rPr>
        <w:rFonts w:hint="default"/>
        <w:u w:val="none" w:color="auto"/>
      </w:rPr>
    </w:lvl>
    <w:lvl w:ilvl="7" w:tentative="0">
      <w:start w:val="1"/>
      <w:numFmt w:val="lowerLetter"/>
      <w:suff w:val="nothing"/>
      <w:lvlText w:val="%8）"/>
      <w:lvlJc w:val="left"/>
      <w:pPr>
        <w:ind w:left="0" w:firstLine="402"/>
      </w:pPr>
      <w:rPr>
        <w:rFonts w:hint="default"/>
        <w:u w:val="none" w:color="auto"/>
      </w:rPr>
    </w:lvl>
    <w:lvl w:ilvl="8" w:tentative="0">
      <w:start w:val="1"/>
      <w:numFmt w:val="lowerRoman"/>
      <w:suff w:val="nothing"/>
      <w:lvlText w:val="%9 "/>
      <w:lvlJc w:val="left"/>
      <w:pPr>
        <w:ind w:left="0" w:firstLine="402"/>
      </w:pPr>
      <w:rPr>
        <w:rFonts w:hint="default"/>
        <w:u w:val="none" w:color="auto"/>
      </w:rPr>
    </w:lvl>
  </w:abstractNum>
  <w:abstractNum w:abstractNumId="1">
    <w:nsid w:val="674E9437"/>
    <w:multiLevelType w:val="singleLevel"/>
    <w:tmpl w:val="674E9437"/>
    <w:lvl w:ilvl="0" w:tentative="0">
      <w:start w:val="1"/>
      <w:numFmt w:val="chineseCounting"/>
      <w:suff w:val="nothing"/>
      <w:lvlText w:val="%1．"/>
      <w:lvlJc w:val="left"/>
      <w:rPr>
        <w:rFonts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00115D"/>
    <w:rsid w:val="34001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line="413" w:lineRule="auto"/>
      <w:ind w:left="142"/>
      <w:outlineLvl w:val="1"/>
    </w:pPr>
    <w:rPr>
      <w:rFonts w:hint="default" w:eastAsia="黑体"/>
      <w:b/>
      <w:sz w:val="32"/>
      <w:szCs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unhideWhenUsed/>
    <w:qFormat/>
    <w:uiPriority w:val="99"/>
    <w:pPr>
      <w:widowControl w:val="0"/>
      <w:spacing w:beforeAutospacing="1" w:afterAutospacing="1"/>
    </w:pPr>
    <w:rPr>
      <w:rFonts w:hint="default" w:ascii="Calibri" w:hAnsi="Calibri" w:eastAsia="宋体" w:cs="Times New Roman"/>
      <w:sz w:val="24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2026-04-01T00:55:00Z</dcterms:created>
  <dc:creator>苗笑天</dc:creator>
  <cp:lastModifiedBy>苗笑天</cp:lastModifiedBy>
  <dcterms:modified xsi:type="dcterms:W3CDTF">2026-04-01T01:01:01Z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B6B12BAD101D41D89481EB8CABE3B2FD_11</vt:lpwstr>
  </property>
  <property fmtid="{D5CDD505-2E9C-101B-9397-08002B2CF9AE}" pid="4" name="KSOTemplateDocerSaveRecord">
    <vt:lpwstr>eyJoZGlkIjoiNTQ5ZGYzNWQzNDRjYjQ3ZmQwNDk5ZDM4OGY4MmE3NWQiLCJ1c2VySWQiOiIzMDYyMDIzNTkifQ==</vt:lpwstr>
  </property>
</Properties>
</file>