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ascii="Times New Roman" w:hAnsi="Times New Roman" w:eastAsia="华文宋体" w:cs="Times New Roman"/>
          <w:b/>
          <w:bCs w:val="0"/>
          <w:iCs w:val="0"/>
          <w:color w:val="FF0000"/>
          <w:kern w:val="0"/>
          <w:sz w:val="110"/>
          <w:szCs w:val="110"/>
          <w:lang w:eastAsia="zh-CN"/>
        </w:rPr>
      </w:pPr>
      <w:r>
        <w:rPr>
          <w:rFonts w:hint="default" w:ascii="Times New Roman" w:hAnsi="Times New Roman" w:eastAsia="华文宋体" w:cs="Times New Roman"/>
          <w:b/>
          <w:bCs w:val="0"/>
          <w:iCs w:val="0"/>
          <w:color w:val="FF0000"/>
          <w:spacing w:val="1"/>
          <w:w w:val="36"/>
          <w:kern w:val="0"/>
          <w:sz w:val="110"/>
          <w:szCs w:val="110"/>
          <w:fitText w:val="8892" w:id="1969913062"/>
          <w:lang w:eastAsia="zh-CN"/>
        </w:rPr>
        <w:t>郑州地铁集团有限公司运营分公司物资管理部文</w:t>
      </w:r>
      <w:r>
        <w:rPr>
          <w:rFonts w:hint="default" w:ascii="Times New Roman" w:hAnsi="Times New Roman" w:eastAsia="华文宋体" w:cs="Times New Roman"/>
          <w:b/>
          <w:bCs w:val="0"/>
          <w:iCs w:val="0"/>
          <w:color w:val="FF0000"/>
          <w:spacing w:val="69"/>
          <w:w w:val="36"/>
          <w:kern w:val="0"/>
          <w:sz w:val="110"/>
          <w:szCs w:val="110"/>
          <w:fitText w:val="8892" w:id="1969913062"/>
          <w:lang w:eastAsia="zh-CN"/>
        </w:rPr>
        <w:t>件</w:t>
      </w:r>
    </w:p>
    <w:p>
      <w:pPr>
        <w:pStyle w:val="4"/>
        <w:jc w:val="center"/>
        <w:rPr>
          <w:rFonts w:hint="default" w:ascii="Times New Roman" w:hAnsi="Times New Roman" w:eastAsia="仿宋_GB2312" w:cs="Times New Roman"/>
          <w:color w:val="FF0000"/>
          <w:sz w:val="32"/>
          <w:szCs w:val="32"/>
        </w:rPr>
      </w:pPr>
      <w:r>
        <w:rPr>
          <w:rFonts w:hint="default" w:ascii="Times New Roman" w:hAnsi="Times New Roman" w:eastAsia="仿宋_GB2312" w:cs="Times New Roman"/>
          <w:color w:val="000000" w:themeColor="text1"/>
          <w:sz w:val="32"/>
          <w:szCs w:val="32"/>
          <w14:textFill>
            <w14:solidFill>
              <w14:schemeClr w14:val="tx1"/>
            </w14:solidFill>
          </w14:textFill>
        </w:rPr>
        <w:t>郑地铁运物文〔202</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4</w:t>
      </w:r>
      <w:r>
        <w:rPr>
          <w:rFonts w:hint="default" w:ascii="Times New Roman" w:hAnsi="Times New Roman" w:eastAsia="仿宋_GB2312" w:cs="Times New Roman"/>
          <w:color w:val="000000" w:themeColor="text1"/>
          <w:sz w:val="32"/>
          <w:szCs w:val="32"/>
          <w14:textFill>
            <w14:solidFill>
              <w14:schemeClr w14:val="tx1"/>
            </w14:solidFill>
          </w14:textFill>
        </w:rPr>
        <w:t>〕</w:t>
      </w: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XX</w:t>
      </w:r>
      <w:r>
        <w:rPr>
          <w:rFonts w:hint="default" w:ascii="Times New Roman" w:hAnsi="Times New Roman" w:eastAsia="仿宋_GB2312" w:cs="Times New Roman"/>
          <w:color w:val="000000" w:themeColor="text1"/>
          <w:sz w:val="32"/>
          <w:szCs w:val="32"/>
          <w14:textFill>
            <w14:solidFill>
              <w14:schemeClr w14:val="tx1"/>
            </w14:solidFill>
          </w14:textFill>
        </w:rPr>
        <w:t>号</w:t>
      </w:r>
    </w:p>
    <w:p>
      <w:pPr>
        <w:pStyle w:val="4"/>
        <w:rPr>
          <w:rFonts w:hint="default" w:ascii="Times New Roman" w:hAnsi="Times New Roman" w:cs="Times New Roman"/>
          <w:sz w:val="21"/>
        </w:rPr>
      </w:pPr>
      <w:r>
        <w:rPr>
          <w:rFonts w:hint="default" w:ascii="Times New Roman" w:hAnsi="Times New Roman" w:cs="Times New Roman"/>
          <w:sz w:val="21"/>
        </w:rPr>
        <mc:AlternateContent>
          <mc:Choice Requires="wps">
            <w:drawing>
              <wp:anchor distT="0" distB="0" distL="114300" distR="114300" simplePos="0" relativeHeight="251666432" behindDoc="0" locked="0" layoutInCell="1" allowOverlap="1">
                <wp:simplePos x="0" y="0"/>
                <wp:positionH relativeFrom="column">
                  <wp:posOffset>-24765</wp:posOffset>
                </wp:positionH>
                <wp:positionV relativeFrom="paragraph">
                  <wp:posOffset>22225</wp:posOffset>
                </wp:positionV>
                <wp:extent cx="5514975" cy="0"/>
                <wp:effectExtent l="0" t="10795" r="9525" b="17780"/>
                <wp:wrapNone/>
                <wp:docPr id="1" name="直接连接符 1"/>
                <wp:cNvGraphicFramePr/>
                <a:graphic xmlns:a="http://schemas.openxmlformats.org/drawingml/2006/main">
                  <a:graphicData uri="http://schemas.microsoft.com/office/word/2010/wordprocessingShape">
                    <wps:wsp>
                      <wps:cNvCnPr/>
                      <wps:spPr>
                        <a:xfrm>
                          <a:off x="1127760" y="2392045"/>
                          <a:ext cx="5514975" cy="0"/>
                        </a:xfrm>
                        <a:prstGeom prst="line">
                          <a:avLst/>
                        </a:prstGeom>
                        <a:ln w="22225" cmpd="sng">
                          <a:solidFill>
                            <a:srgbClr val="FF0000"/>
                          </a:solidFill>
                          <a:prstDash val="solid"/>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id="_x0000_s1026" o:spid="_x0000_s1026" o:spt="20" style="position:absolute;left:0pt;margin-left:-1.95pt;margin-top:1.75pt;height:0pt;width:434.25pt;z-index:251666432;mso-width-relative:page;mso-height-relative:page;" filled="f" stroked="t" coordsize="21600,21600" o:gfxdata="UEsDBAoAAAAAAIdO4kAAAAAAAAAAAAAAAAAEAAAAZHJzL1BLAwQUAAAACACHTuJA5vwuxdUAAAAG&#10;AQAADwAAAGRycy9kb3ducmV2LnhtbE2OPU/DMBRFdyT+g/UqsbV22hKVNE6HSq0YGKCwsL3Gr3HU&#10;+DmK3Q/49RgWOl7dq3NPubq6TpxpCK1nDdlEgSCuvWm50fDxvhkvQISIbLDzTBq+KMCqur8rsTD+&#10;wm903sVGJAiHAjXYGPtCylBbchgmvidO3cEPDmOKQyPNgJcEd52cKpVLhy2nB4s9rS3Vx93JaZjO&#10;N2wyPK4/7aF/kfF7+/qstlo/jDK1BBHpGv/H8Kuf1KFKTnt/YhNEp2E8e0pLDbNHEKle5PMcxP4v&#10;y6qUt/rVD1BLAwQUAAAACACHTuJAqjuW2/QBAAC+AwAADgAAAGRycy9lMm9Eb2MueG1srVPNbhMx&#10;EL4j8Q6W72R/aJp2lU0PjcIFQSTgARyvvWvJf/K42eQleAEkbnDiyJ23oTwGY2/aQrn0wB68Y3vm&#10;m/m+GS+vDkaTvQignG1pNSspEZa7Ttm+pR/eb15cUAKR2Y5pZ0VLjwLo1er5s+XoG1G7welOBIIg&#10;FprRt3SI0TdFAXwQhsHMeWHxUrpgWMRt6IsusBHRjS7qsjwvRhc6HxwXAHi6ni7pCTE8BdBJqbhY&#10;O35jhI0TahCaRaQEg/JAV7laKQWPb6UEEYluKTKNecUkaO/SWqyWrOkD84PipxLYU0p4xMkwZTHp&#10;PdSaRUZugvoHyigeHDgZZ9yZYiKSFUEWVflIm3cD8yJzQanB34sO/w+Wv9lvA1EdTgIllhls+O2n&#10;7z8/fvn14zOut9++kiqJNHpo0PfabsNpB34bEuODDCb9kQs5IExVLxbnKO+xpfXLy7o8m08ii0Mk&#10;HB3m8+rscjGnhKNHbkDxAOIDxFfCGZKMlmplE3/WsP1riJgYXe9c0rF1G6V17qG2ZMSM+CVohoMp&#10;cSDQNB7Jge0pYbrHiecxZEhwWnUpPAFB6HfXOpA9wznZbEr8UtWY7i+3lHvNYJj88tVEzqiIj0Ir&#10;09KLFHwXrS2CJO0mtZK1c90xi5jPsa05zWkE09z8uc/RD89u9R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m/C7F1QAAAAYBAAAPAAAAAAAAAAEAIAAAACIAAABkcnMvZG93bnJldi54bWxQSwECFAAU&#10;AAAACACHTuJAqjuW2/QBAAC+AwAADgAAAAAAAAABACAAAAAkAQAAZHJzL2Uyb0RvYy54bWxQSwUG&#10;AAAAAAYABgBZAQAAigUAAAAA&#10;">
                <v:fill on="f" focussize="0,0"/>
                <v:stroke weight="1.75pt" color="#FF0000 [3205]" miterlimit="8" joinstyle="miter"/>
                <v:imagedata o:title=""/>
                <o:lock v:ext="edit" aspectratio="f"/>
              </v:line>
            </w:pict>
          </mc:Fallback>
        </mc:AlternateContent>
      </w:r>
    </w:p>
    <w:p>
      <w:pPr>
        <w:bidi w:val="0"/>
        <w:rPr>
          <w:rFonts w:hint="default" w:ascii="Times New Roman" w:hAnsi="Times New Roman" w:cs="Times New Roman"/>
        </w:rPr>
      </w:pPr>
    </w:p>
    <w:p>
      <w:pPr>
        <w:keepNext/>
        <w:keepLines/>
        <w:widowControl w:val="0"/>
        <w:spacing w:line="560" w:lineRule="exact"/>
        <w:ind w:firstLine="0" w:firstLineChars="0"/>
        <w:jc w:val="center"/>
        <w:outlineLvl w:val="0"/>
        <w:rPr>
          <w:rFonts w:hint="default" w:ascii="Times New Roman" w:hAnsi="Times New Roman" w:eastAsia="方正小标宋简体" w:cs="Times New Roman"/>
          <w:kern w:val="44"/>
          <w:sz w:val="44"/>
          <w:szCs w:val="44"/>
          <w:lang w:val="en-US" w:eastAsia="zh-CN" w:bidi="ar-SA"/>
        </w:rPr>
      </w:pPr>
      <w:r>
        <w:rPr>
          <w:rFonts w:hint="eastAsia" w:ascii="Times New Roman" w:hAnsi="Times New Roman" w:eastAsia="方正小标宋简体" w:cs="Times New Roman"/>
          <w:kern w:val="44"/>
          <w:sz w:val="44"/>
          <w:szCs w:val="44"/>
          <w:lang w:val="en-US" w:eastAsia="zh-CN" w:bidi="ar-SA"/>
        </w:rPr>
        <w:t>关于发布</w:t>
      </w:r>
      <w:r>
        <w:rPr>
          <w:rFonts w:hint="default" w:ascii="Times New Roman" w:hAnsi="Times New Roman" w:eastAsia="方正小标宋简体" w:cs="Times New Roman"/>
          <w:kern w:val="44"/>
          <w:sz w:val="44"/>
          <w:szCs w:val="44"/>
          <w:lang w:val="en-US" w:eastAsia="zh-CN" w:bidi="ar-SA"/>
        </w:rPr>
        <w:t>运营分公司</w:t>
      </w:r>
      <w:r>
        <w:rPr>
          <w:rFonts w:hint="eastAsia" w:ascii="Times New Roman" w:hAnsi="Times New Roman" w:eastAsia="方正小标宋简体" w:cs="Times New Roman"/>
          <w:kern w:val="44"/>
          <w:sz w:val="44"/>
          <w:szCs w:val="44"/>
          <w:lang w:val="en-US" w:eastAsia="zh-CN" w:bidi="ar-SA"/>
        </w:rPr>
        <w:t>《</w:t>
      </w:r>
      <w:r>
        <w:rPr>
          <w:rFonts w:hint="default" w:ascii="Times New Roman" w:hAnsi="Times New Roman" w:eastAsia="方正小标宋简体" w:cs="Times New Roman"/>
          <w:kern w:val="44"/>
          <w:sz w:val="44"/>
          <w:szCs w:val="44"/>
          <w:lang w:val="en-US" w:eastAsia="zh-CN" w:bidi="ar-SA"/>
        </w:rPr>
        <w:t>物资编码申请、修订业务指导手册</w:t>
      </w:r>
      <w:r>
        <w:rPr>
          <w:rFonts w:hint="eastAsia" w:ascii="Times New Roman" w:hAnsi="Times New Roman" w:eastAsia="方正小标宋简体" w:cs="Times New Roman"/>
          <w:kern w:val="44"/>
          <w:sz w:val="44"/>
          <w:szCs w:val="44"/>
          <w:lang w:val="en-US" w:eastAsia="zh-CN" w:bidi="ar-SA"/>
        </w:rPr>
        <w:t>》的通知</w:t>
      </w:r>
    </w:p>
    <w:p>
      <w:pPr>
        <w:spacing w:line="560" w:lineRule="exact"/>
        <w:ind w:firstLine="640" w:firstLineChars="200"/>
        <w:rPr>
          <w:rFonts w:hint="default" w:ascii="Times New Roman" w:hAnsi="Times New Roman" w:eastAsia="仿宋_GB2312" w:cs="Times New Roman"/>
          <w:sz w:val="32"/>
          <w:szCs w:val="32"/>
        </w:rPr>
      </w:pPr>
    </w:p>
    <w:p>
      <w:pPr>
        <w:spacing w:line="560" w:lineRule="exact"/>
        <w:ind w:firstLine="640" w:firstLineChars="200"/>
        <w:rPr>
          <w:rFonts w:hint="default" w:ascii="Times New Roman" w:hAnsi="Times New Roman" w:eastAsia="仿宋_GB2312" w:cs="Times New Roman"/>
          <w:sz w:val="32"/>
          <w:szCs w:val="32"/>
          <w:lang w:val="en-US" w:eastAsia="zh-CN"/>
        </w:rPr>
      </w:pPr>
      <w:r>
        <w:rPr>
          <w:rFonts w:hint="eastAsia" w:ascii="Times New Roman" w:hAnsi="Times New Roman" w:eastAsia="仿宋_GB2312" w:cs="Times New Roman"/>
          <w:sz w:val="32"/>
          <w:szCs w:val="32"/>
          <w:lang w:val="en-US" w:eastAsia="zh-CN"/>
        </w:rPr>
        <w:t>各生产中心，分公司各部门：</w:t>
      </w:r>
    </w:p>
    <w:p>
      <w:pPr>
        <w:spacing w:line="560" w:lineRule="exact"/>
        <w:ind w:firstLine="640" w:firstLineChars="200"/>
        <w:jc w:val="left"/>
        <w:outlineLvl w:val="9"/>
        <w:rPr>
          <w:rFonts w:hint="default" w:ascii="Times New Roman" w:hAnsi="Times New Roman" w:eastAsia="方正小标宋简体" w:cs="Times New Roman"/>
          <w:sz w:val="44"/>
          <w:szCs w:val="44"/>
          <w:lang w:val="en-US"/>
        </w:rPr>
        <w:sectPr>
          <w:footerReference r:id="rId3" w:type="default"/>
          <w:pgSz w:w="11906" w:h="16838"/>
          <w:pgMar w:top="2098" w:right="1474" w:bottom="1984" w:left="1587" w:header="851" w:footer="992" w:gutter="0"/>
          <w:pgNumType w:fmt="numberInDash" w:start="1"/>
          <w:cols w:space="0" w:num="1"/>
          <w:docGrid w:type="lines" w:linePitch="318" w:charSpace="0"/>
        </w:sectPr>
      </w:pPr>
      <w:r>
        <w:rPr>
          <w:rFonts w:hint="default" w:ascii="Times New Roman" w:hAnsi="Times New Roman" w:eastAsia="仿宋_GB2312" w:cs="Times New Roman"/>
          <w:sz w:val="32"/>
          <w:szCs w:val="32"/>
        </w:rPr>
        <w:t>为提升运营生产物资</w:t>
      </w:r>
      <w:r>
        <w:rPr>
          <w:rFonts w:hint="eastAsia" w:ascii="Times New Roman" w:hAnsi="Times New Roman" w:eastAsia="仿宋_GB2312" w:cs="Times New Roman"/>
          <w:sz w:val="32"/>
          <w:szCs w:val="32"/>
          <w:lang w:val="en-US" w:eastAsia="zh-CN"/>
        </w:rPr>
        <w:t>编码</w:t>
      </w:r>
      <w:r>
        <w:rPr>
          <w:rFonts w:hint="default" w:ascii="Times New Roman" w:hAnsi="Times New Roman" w:eastAsia="仿宋_GB2312" w:cs="Times New Roman"/>
          <w:sz w:val="32"/>
          <w:szCs w:val="32"/>
        </w:rPr>
        <w:t>管理水平，增强物资</w:t>
      </w:r>
      <w:r>
        <w:rPr>
          <w:rFonts w:hint="eastAsia" w:ascii="Times New Roman" w:hAnsi="Times New Roman" w:eastAsia="仿宋_GB2312" w:cs="Times New Roman"/>
          <w:sz w:val="32"/>
          <w:szCs w:val="32"/>
          <w:lang w:val="en-US" w:eastAsia="zh-CN"/>
        </w:rPr>
        <w:t>基础数据准确性</w:t>
      </w:r>
      <w:r>
        <w:rPr>
          <w:rFonts w:hint="default" w:ascii="Times New Roman" w:hAnsi="Times New Roman" w:eastAsia="仿宋_GB2312" w:cs="Times New Roman"/>
          <w:sz w:val="32"/>
          <w:szCs w:val="32"/>
        </w:rPr>
        <w:t>，</w:t>
      </w:r>
      <w:r>
        <w:rPr>
          <w:rFonts w:hint="eastAsia" w:ascii="Times New Roman" w:hAnsi="Times New Roman" w:eastAsia="仿宋_GB2312" w:cs="Times New Roman"/>
          <w:sz w:val="32"/>
          <w:szCs w:val="32"/>
          <w:lang w:val="en-US" w:eastAsia="zh-CN"/>
        </w:rPr>
        <w:t>现下发运营分公司《物资编码申请、修订业务指导手册》，请各中心（部门）认真学习，按照要求执行。</w:t>
      </w:r>
    </w:p>
    <w:p>
      <w:pPr>
        <w:spacing w:line="560" w:lineRule="exact"/>
        <w:jc w:val="center"/>
        <w:outlineLvl w:val="0"/>
        <w:rPr>
          <w:rFonts w:ascii="Times New Roman" w:hAnsi="Times New Roman" w:eastAsia="方正小标宋简体" w:cs="Times New Roman"/>
          <w:sz w:val="44"/>
          <w:szCs w:val="44"/>
        </w:rPr>
      </w:pPr>
      <w:bookmarkStart w:id="0" w:name="_GoBack"/>
      <w:r>
        <w:rPr>
          <w:rFonts w:hint="eastAsia" w:ascii="Times New Roman" w:hAnsi="Times New Roman" w:eastAsia="方正小标宋简体" w:cs="Times New Roman"/>
          <w:sz w:val="44"/>
          <w:szCs w:val="44"/>
        </w:rPr>
        <w:t>物资编码申请、修订业务指导手册</w:t>
      </w:r>
    </w:p>
    <w:bookmarkEnd w:id="0"/>
    <w:p>
      <w:pPr>
        <w:spacing w:line="560" w:lineRule="exact"/>
        <w:jc w:val="center"/>
        <w:rPr>
          <w:rFonts w:ascii="Times New Roman" w:hAnsi="Times New Roman" w:eastAsia="方正小标宋简体" w:cs="方正小标宋简体"/>
          <w:sz w:val="44"/>
          <w:szCs w:val="22"/>
          <w:lang w:bidi="ar"/>
        </w:rPr>
      </w:pPr>
    </w:p>
    <w:p>
      <w:pPr>
        <w:spacing w:line="560" w:lineRule="exact"/>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为规范运营</w:t>
      </w:r>
      <w:r>
        <w:rPr>
          <w:rFonts w:hint="eastAsia" w:ascii="Times New Roman" w:hAnsi="Times New Roman" w:eastAsia="仿宋_GB2312" w:cs="Times New Roman"/>
          <w:sz w:val="32"/>
          <w:szCs w:val="32"/>
          <w:lang w:val="en-US" w:eastAsia="zh-CN"/>
        </w:rPr>
        <w:t>分</w:t>
      </w:r>
      <w:r>
        <w:rPr>
          <w:rFonts w:hint="eastAsia" w:ascii="Times New Roman" w:hAnsi="Times New Roman" w:eastAsia="仿宋_GB2312" w:cs="Times New Roman"/>
          <w:sz w:val="32"/>
          <w:szCs w:val="32"/>
        </w:rPr>
        <w:t>公司物资编码申请、修订工作，确保物资编码业务标准清晰、流程规范，现制定本指导手册。</w:t>
      </w:r>
    </w:p>
    <w:p>
      <w:pPr>
        <w:numPr>
          <w:ilvl w:val="0"/>
          <w:numId w:val="2"/>
        </w:numPr>
        <w:spacing w:line="560" w:lineRule="exact"/>
        <w:ind w:firstLine="640" w:firstLineChars="200"/>
        <w:outlineLvl w:val="0"/>
        <w:rPr>
          <w:rFonts w:ascii="Times New Roman" w:hAnsi="Times New Roman" w:eastAsia="黑体" w:cs="Times New Roman"/>
          <w:sz w:val="32"/>
          <w:szCs w:val="32"/>
        </w:rPr>
      </w:pPr>
      <w:r>
        <w:rPr>
          <w:rFonts w:hint="eastAsia" w:ascii="Times New Roman" w:hAnsi="Times New Roman" w:eastAsia="黑体" w:cs="Times New Roman"/>
          <w:sz w:val="32"/>
          <w:szCs w:val="32"/>
        </w:rPr>
        <w:t>术语和定义</w:t>
      </w:r>
    </w:p>
    <w:p>
      <w:pPr>
        <w:spacing w:line="560" w:lineRule="exact"/>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1.物资编码：物资编码是指按照资产分类有序编排，用以指代同种物资的字母或数字组合，基本结构包括：长度、编排顺序等。物资编码含主分类码前缀，与资产主分类存在对应关系，主分类码前缀以1位字母+2位数字对应资产主分类的大类、中类。全部为11位编码，可用于需求计划提报、采购实施、出入库管理等过程。只有当非库存物资进入资产管理系统（EAM）管理时，使用3位主分类码前缀+5位流水码的8位编码。</w:t>
      </w:r>
    </w:p>
    <w:p>
      <w:pPr>
        <w:spacing w:line="560" w:lineRule="exact"/>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2.物资说明：物资说明，即物资编码所包含的主要信息，包括物资名称、品牌、厂商、型号、技术参数等。</w:t>
      </w:r>
    </w:p>
    <w:p>
      <w:pPr>
        <w:spacing w:line="560" w:lineRule="exact"/>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3.预算指导价：即物资的单价，一般是市场调研价格。</w:t>
      </w:r>
    </w:p>
    <w:p>
      <w:pPr>
        <w:spacing w:line="560" w:lineRule="exact"/>
        <w:ind w:firstLine="640" w:firstLineChars="200"/>
        <w:outlineLvl w:val="0"/>
        <w:rPr>
          <w:rFonts w:ascii="Times New Roman" w:hAnsi="Times New Roman" w:eastAsia="仿宋_GB2312" w:cs="Times New Roman"/>
          <w:sz w:val="32"/>
          <w:szCs w:val="32"/>
        </w:rPr>
      </w:pPr>
      <w:r>
        <w:rPr>
          <w:rFonts w:hint="eastAsia" w:ascii="Times New Roman" w:hAnsi="Times New Roman" w:eastAsia="黑体" w:cs="Times New Roman"/>
          <w:sz w:val="32"/>
          <w:szCs w:val="32"/>
        </w:rPr>
        <w:t>二、工作原则及范围</w:t>
      </w:r>
    </w:p>
    <w:p>
      <w:pPr>
        <w:spacing w:line="560" w:lineRule="exact"/>
        <w:ind w:firstLine="640" w:firstLineChars="200"/>
        <w:outlineLvl w:val="1"/>
        <w:rPr>
          <w:rFonts w:ascii="楷体_GB2312" w:hAnsi="楷体_GB2312" w:eastAsia="楷体_GB2312" w:cs="楷体_GB2312"/>
          <w:sz w:val="32"/>
          <w:szCs w:val="32"/>
        </w:rPr>
      </w:pPr>
      <w:r>
        <w:rPr>
          <w:rFonts w:hint="eastAsia" w:ascii="楷体_GB2312" w:hAnsi="楷体_GB2312" w:eastAsia="楷体_GB2312" w:cs="楷体_GB2312"/>
          <w:sz w:val="32"/>
          <w:szCs w:val="32"/>
        </w:rPr>
        <w:t>（一）工作原则</w:t>
      </w:r>
    </w:p>
    <w:p>
      <w:pPr>
        <w:spacing w:line="560" w:lineRule="exact"/>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严格按照该指导手册进行物资编码申请、修订工作。</w:t>
      </w:r>
    </w:p>
    <w:p>
      <w:pPr>
        <w:spacing w:line="560" w:lineRule="exact"/>
        <w:ind w:firstLine="640" w:firstLineChars="200"/>
        <w:outlineLvl w:val="1"/>
        <w:rPr>
          <w:rFonts w:ascii="楷体_GB2312" w:hAnsi="楷体_GB2312" w:eastAsia="楷体_GB2312" w:cs="楷体_GB2312"/>
          <w:sz w:val="32"/>
          <w:szCs w:val="32"/>
        </w:rPr>
      </w:pPr>
      <w:r>
        <w:rPr>
          <w:rFonts w:hint="eastAsia" w:ascii="楷体_GB2312" w:hAnsi="楷体_GB2312" w:eastAsia="楷体_GB2312" w:cs="楷体_GB2312"/>
          <w:sz w:val="32"/>
          <w:szCs w:val="32"/>
        </w:rPr>
        <w:t>（二）工作范围</w:t>
      </w:r>
    </w:p>
    <w:p>
      <w:pPr>
        <w:spacing w:line="560" w:lineRule="exact"/>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适用于运营</w:t>
      </w:r>
      <w:r>
        <w:rPr>
          <w:rFonts w:hint="eastAsia" w:ascii="Times New Roman" w:hAnsi="Times New Roman" w:eastAsia="仿宋_GB2312" w:cs="Times New Roman"/>
          <w:sz w:val="32"/>
          <w:szCs w:val="32"/>
          <w:lang w:val="en-US" w:eastAsia="zh-CN"/>
        </w:rPr>
        <w:t>分</w:t>
      </w:r>
      <w:r>
        <w:rPr>
          <w:rFonts w:hint="eastAsia" w:ascii="Times New Roman" w:hAnsi="Times New Roman" w:eastAsia="仿宋_GB2312" w:cs="Times New Roman"/>
          <w:sz w:val="32"/>
          <w:szCs w:val="32"/>
        </w:rPr>
        <w:t>公司（以下简称“公司”）物资管理工作中涉及的编码（以下简称“物资编码”）的管理。</w:t>
      </w:r>
    </w:p>
    <w:p>
      <w:pPr>
        <w:spacing w:line="560" w:lineRule="exact"/>
        <w:ind w:firstLine="640" w:firstLineChars="200"/>
        <w:outlineLvl w:val="0"/>
        <w:rPr>
          <w:rFonts w:ascii="Times New Roman" w:hAnsi="Times New Roman" w:eastAsia="黑体" w:cs="Times New Roman"/>
          <w:sz w:val="32"/>
          <w:szCs w:val="32"/>
        </w:rPr>
      </w:pPr>
      <w:r>
        <w:rPr>
          <w:rFonts w:hint="eastAsia" w:ascii="Times New Roman" w:hAnsi="Times New Roman" w:eastAsia="黑体" w:cs="Times New Roman"/>
          <w:sz w:val="32"/>
          <w:szCs w:val="32"/>
        </w:rPr>
        <w:t>三、工作职责</w:t>
      </w:r>
    </w:p>
    <w:p>
      <w:pPr>
        <w:spacing w:line="560" w:lineRule="exact"/>
        <w:ind w:firstLine="640" w:firstLineChars="200"/>
        <w:outlineLvl w:val="1"/>
        <w:rPr>
          <w:rFonts w:ascii="楷体_GB2312" w:hAnsi="楷体_GB2312" w:eastAsia="楷体_GB2312" w:cs="楷体_GB2312"/>
          <w:sz w:val="32"/>
          <w:szCs w:val="32"/>
        </w:rPr>
      </w:pPr>
      <w:r>
        <w:rPr>
          <w:rFonts w:hint="eastAsia" w:ascii="楷体_GB2312" w:hAnsi="楷体_GB2312" w:eastAsia="楷体_GB2312" w:cs="楷体_GB2312"/>
          <w:sz w:val="32"/>
          <w:szCs w:val="32"/>
        </w:rPr>
        <w:t>（一）</w:t>
      </w:r>
      <w:r>
        <w:rPr>
          <w:rFonts w:ascii="楷体_GB2312" w:hAnsi="楷体_GB2312" w:eastAsia="楷体_GB2312" w:cs="楷体_GB2312"/>
          <w:sz w:val="32"/>
          <w:szCs w:val="32"/>
        </w:rPr>
        <w:t>物资管理部</w:t>
      </w:r>
    </w:p>
    <w:p>
      <w:pPr>
        <w:spacing w:line="560" w:lineRule="exact"/>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1.</w:t>
      </w:r>
      <w:r>
        <w:rPr>
          <w:rFonts w:ascii="Times New Roman" w:hAnsi="Times New Roman" w:eastAsia="仿宋_GB2312" w:cs="Times New Roman"/>
          <w:sz w:val="32"/>
          <w:szCs w:val="32"/>
        </w:rPr>
        <w:t>负责规范运营</w:t>
      </w:r>
      <w:r>
        <w:rPr>
          <w:rFonts w:hint="eastAsia" w:ascii="Times New Roman" w:hAnsi="Times New Roman" w:eastAsia="仿宋_GB2312" w:cs="Times New Roman"/>
          <w:sz w:val="32"/>
          <w:szCs w:val="32"/>
          <w:lang w:val="en-US" w:eastAsia="zh-CN"/>
        </w:rPr>
        <w:t>分</w:t>
      </w:r>
      <w:r>
        <w:rPr>
          <w:rFonts w:hint="eastAsia" w:ascii="Times New Roman" w:hAnsi="Times New Roman" w:eastAsia="仿宋_GB2312" w:cs="Times New Roman"/>
          <w:sz w:val="32"/>
          <w:szCs w:val="32"/>
        </w:rPr>
        <w:t>公司</w:t>
      </w:r>
      <w:r>
        <w:rPr>
          <w:rFonts w:ascii="Times New Roman" w:hAnsi="Times New Roman" w:eastAsia="仿宋_GB2312" w:cs="Times New Roman"/>
          <w:sz w:val="32"/>
          <w:szCs w:val="32"/>
        </w:rPr>
        <w:t>物资编码管理。</w:t>
      </w:r>
    </w:p>
    <w:p>
      <w:pPr>
        <w:spacing w:line="560" w:lineRule="exact"/>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2.</w:t>
      </w:r>
      <w:r>
        <w:rPr>
          <w:rFonts w:ascii="Times New Roman" w:hAnsi="Times New Roman" w:eastAsia="仿宋_GB2312" w:cs="Times New Roman"/>
          <w:sz w:val="32"/>
          <w:szCs w:val="32"/>
        </w:rPr>
        <w:t>负责对运营</w:t>
      </w:r>
      <w:r>
        <w:rPr>
          <w:rFonts w:hint="eastAsia" w:ascii="Times New Roman" w:hAnsi="Times New Roman" w:eastAsia="仿宋_GB2312" w:cs="Times New Roman"/>
          <w:sz w:val="32"/>
          <w:szCs w:val="32"/>
          <w:lang w:val="en-US" w:eastAsia="zh-CN"/>
        </w:rPr>
        <w:t>分</w:t>
      </w:r>
      <w:r>
        <w:rPr>
          <w:rFonts w:hint="eastAsia" w:ascii="Times New Roman" w:hAnsi="Times New Roman" w:eastAsia="仿宋_GB2312" w:cs="Times New Roman"/>
          <w:sz w:val="32"/>
          <w:szCs w:val="32"/>
        </w:rPr>
        <w:t>公司</w:t>
      </w:r>
      <w:r>
        <w:rPr>
          <w:rFonts w:ascii="Times New Roman" w:hAnsi="Times New Roman" w:eastAsia="仿宋_GB2312" w:cs="Times New Roman"/>
          <w:sz w:val="32"/>
          <w:szCs w:val="32"/>
        </w:rPr>
        <w:t>新增物资编码的唯一性、填写规范性进行审核。</w:t>
      </w:r>
    </w:p>
    <w:p>
      <w:pPr>
        <w:spacing w:line="560" w:lineRule="exact"/>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3.</w:t>
      </w:r>
      <w:r>
        <w:rPr>
          <w:rFonts w:ascii="Times New Roman" w:hAnsi="Times New Roman" w:eastAsia="仿宋_GB2312" w:cs="Times New Roman"/>
          <w:sz w:val="32"/>
          <w:szCs w:val="32"/>
        </w:rPr>
        <w:t>负责运营</w:t>
      </w:r>
      <w:r>
        <w:rPr>
          <w:rFonts w:hint="eastAsia" w:ascii="Times New Roman" w:hAnsi="Times New Roman" w:eastAsia="仿宋_GB2312" w:cs="Times New Roman"/>
          <w:sz w:val="32"/>
          <w:szCs w:val="32"/>
          <w:lang w:val="en-US" w:eastAsia="zh-CN"/>
        </w:rPr>
        <w:t>分</w:t>
      </w:r>
      <w:r>
        <w:rPr>
          <w:rFonts w:hint="eastAsia" w:ascii="Times New Roman" w:hAnsi="Times New Roman" w:eastAsia="仿宋_GB2312" w:cs="Times New Roman"/>
          <w:sz w:val="32"/>
          <w:szCs w:val="32"/>
        </w:rPr>
        <w:t>公司</w:t>
      </w:r>
      <w:r>
        <w:rPr>
          <w:rFonts w:ascii="Times New Roman" w:hAnsi="Times New Roman" w:eastAsia="仿宋_GB2312" w:cs="Times New Roman"/>
          <w:sz w:val="32"/>
          <w:szCs w:val="32"/>
        </w:rPr>
        <w:t>物资编码库的维护管理，包括修订物资说明、停/启用、修订预算指导价、编码映射关系维护。</w:t>
      </w:r>
    </w:p>
    <w:p>
      <w:pPr>
        <w:spacing w:line="560" w:lineRule="exact"/>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4.</w:t>
      </w:r>
      <w:r>
        <w:rPr>
          <w:rFonts w:ascii="Times New Roman" w:hAnsi="Times New Roman" w:eastAsia="仿宋_GB2312" w:cs="Times New Roman"/>
          <w:sz w:val="32"/>
          <w:szCs w:val="32"/>
        </w:rPr>
        <w:t>负责对物资编码的物资类型进行审核。</w:t>
      </w:r>
    </w:p>
    <w:p>
      <w:pPr>
        <w:spacing w:line="560" w:lineRule="exact"/>
        <w:ind w:firstLine="640" w:firstLineChars="200"/>
        <w:outlineLvl w:val="1"/>
        <w:rPr>
          <w:rFonts w:ascii="楷体_GB2312" w:hAnsi="楷体_GB2312" w:eastAsia="楷体_GB2312" w:cs="楷体_GB2312"/>
          <w:sz w:val="32"/>
          <w:szCs w:val="32"/>
        </w:rPr>
      </w:pPr>
      <w:r>
        <w:rPr>
          <w:rFonts w:hint="eastAsia" w:ascii="楷体_GB2312" w:hAnsi="楷体_GB2312" w:eastAsia="楷体_GB2312" w:cs="楷体_GB2312"/>
          <w:sz w:val="32"/>
          <w:szCs w:val="32"/>
        </w:rPr>
        <w:t>（二）</w:t>
      </w:r>
      <w:r>
        <w:rPr>
          <w:rFonts w:ascii="楷体_GB2312" w:hAnsi="楷体_GB2312" w:eastAsia="楷体_GB2312" w:cs="楷体_GB2312"/>
          <w:sz w:val="32"/>
          <w:szCs w:val="32"/>
        </w:rPr>
        <w:t>财务部</w:t>
      </w:r>
    </w:p>
    <w:p>
      <w:pPr>
        <w:spacing w:line="560" w:lineRule="exact"/>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1.</w:t>
      </w:r>
      <w:r>
        <w:rPr>
          <w:rFonts w:ascii="Times New Roman" w:hAnsi="Times New Roman" w:eastAsia="仿宋_GB2312" w:cs="Times New Roman"/>
          <w:sz w:val="32"/>
          <w:szCs w:val="32"/>
        </w:rPr>
        <w:t>负责组织资产分类的修订工作。</w:t>
      </w:r>
    </w:p>
    <w:p>
      <w:pPr>
        <w:spacing w:line="560" w:lineRule="exact"/>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2.</w:t>
      </w:r>
      <w:r>
        <w:rPr>
          <w:rFonts w:ascii="Times New Roman" w:hAnsi="Times New Roman" w:eastAsia="仿宋_GB2312" w:cs="Times New Roman"/>
          <w:sz w:val="32"/>
          <w:szCs w:val="32"/>
        </w:rPr>
        <w:t>负责审核新增编码</w:t>
      </w:r>
      <w:r>
        <w:rPr>
          <w:rFonts w:hint="eastAsia" w:ascii="Times New Roman" w:hAnsi="Times New Roman" w:eastAsia="仿宋_GB2312" w:cs="Times New Roman"/>
          <w:sz w:val="32"/>
          <w:szCs w:val="32"/>
          <w:lang w:val="en-US" w:eastAsia="zh-CN"/>
        </w:rPr>
        <w:t>资产类别、物资类型选择</w:t>
      </w:r>
      <w:r>
        <w:rPr>
          <w:rFonts w:ascii="Times New Roman" w:hAnsi="Times New Roman" w:eastAsia="仿宋_GB2312" w:cs="Times New Roman"/>
          <w:sz w:val="32"/>
          <w:szCs w:val="32"/>
        </w:rPr>
        <w:t>是否符合资产管理要求。</w:t>
      </w:r>
    </w:p>
    <w:p>
      <w:pPr>
        <w:spacing w:line="560" w:lineRule="exact"/>
        <w:ind w:firstLine="640" w:firstLineChars="200"/>
        <w:outlineLvl w:val="1"/>
        <w:rPr>
          <w:rFonts w:ascii="楷体_GB2312" w:hAnsi="楷体_GB2312" w:eastAsia="楷体_GB2312" w:cs="楷体_GB2312"/>
          <w:sz w:val="32"/>
          <w:szCs w:val="32"/>
        </w:rPr>
      </w:pPr>
      <w:r>
        <w:rPr>
          <w:rFonts w:hint="eastAsia" w:ascii="楷体_GB2312" w:hAnsi="楷体_GB2312" w:eastAsia="楷体_GB2312" w:cs="楷体_GB2312"/>
          <w:sz w:val="32"/>
          <w:szCs w:val="32"/>
        </w:rPr>
        <w:t>（三）</w:t>
      </w:r>
      <w:r>
        <w:rPr>
          <w:rFonts w:ascii="楷体_GB2312" w:hAnsi="楷体_GB2312" w:eastAsia="楷体_GB2312" w:cs="楷体_GB2312"/>
          <w:sz w:val="32"/>
          <w:szCs w:val="32"/>
        </w:rPr>
        <w:t>供建中心</w:t>
      </w:r>
    </w:p>
    <w:p>
      <w:pPr>
        <w:spacing w:line="560" w:lineRule="exact"/>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负责审核新增编码是否符合计量器具及仪器仪表管理要求。</w:t>
      </w:r>
    </w:p>
    <w:p>
      <w:pPr>
        <w:spacing w:line="560" w:lineRule="exact"/>
        <w:ind w:firstLine="640" w:firstLineChars="200"/>
        <w:outlineLvl w:val="1"/>
        <w:rPr>
          <w:rFonts w:ascii="楷体_GB2312" w:hAnsi="楷体_GB2312" w:eastAsia="楷体_GB2312" w:cs="楷体_GB2312"/>
          <w:sz w:val="32"/>
          <w:szCs w:val="32"/>
        </w:rPr>
      </w:pPr>
      <w:r>
        <w:rPr>
          <w:rFonts w:hint="eastAsia" w:ascii="楷体_GB2312" w:hAnsi="楷体_GB2312" w:eastAsia="楷体_GB2312" w:cs="楷体_GB2312"/>
          <w:sz w:val="32"/>
          <w:szCs w:val="32"/>
        </w:rPr>
        <w:t>（四）</w:t>
      </w:r>
      <w:r>
        <w:rPr>
          <w:rFonts w:ascii="楷体_GB2312" w:hAnsi="楷体_GB2312" w:eastAsia="楷体_GB2312" w:cs="楷体_GB2312"/>
          <w:sz w:val="32"/>
          <w:szCs w:val="32"/>
        </w:rPr>
        <w:t>编码使用部门</w:t>
      </w:r>
    </w:p>
    <w:p>
      <w:pPr>
        <w:spacing w:line="560" w:lineRule="exact"/>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1.</w:t>
      </w:r>
      <w:r>
        <w:rPr>
          <w:rFonts w:ascii="Times New Roman" w:hAnsi="Times New Roman" w:eastAsia="仿宋_GB2312" w:cs="Times New Roman"/>
          <w:sz w:val="32"/>
          <w:szCs w:val="32"/>
        </w:rPr>
        <w:t>负责所需物资编码的申请；</w:t>
      </w:r>
    </w:p>
    <w:p>
      <w:pPr>
        <w:spacing w:line="560" w:lineRule="exact"/>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2.</w:t>
      </w:r>
      <w:r>
        <w:rPr>
          <w:rFonts w:ascii="Times New Roman" w:hAnsi="Times New Roman" w:eastAsia="仿宋_GB2312" w:cs="Times New Roman"/>
          <w:sz w:val="32"/>
          <w:szCs w:val="32"/>
        </w:rPr>
        <w:t>根据实际使用情况，对物资编码说明提出补充、修订申请；</w:t>
      </w:r>
    </w:p>
    <w:p>
      <w:pPr>
        <w:spacing w:line="560" w:lineRule="exact"/>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3.</w:t>
      </w:r>
      <w:r>
        <w:rPr>
          <w:rFonts w:ascii="Times New Roman" w:hAnsi="Times New Roman" w:eastAsia="仿宋_GB2312" w:cs="Times New Roman"/>
          <w:sz w:val="32"/>
          <w:szCs w:val="32"/>
        </w:rPr>
        <w:t>根据实际使用情况，对物资编码提出停/启用申请；</w:t>
      </w:r>
    </w:p>
    <w:p>
      <w:pPr>
        <w:spacing w:line="560" w:lineRule="exact"/>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4.</w:t>
      </w:r>
      <w:r>
        <w:rPr>
          <w:rFonts w:ascii="Times New Roman" w:hAnsi="Times New Roman" w:eastAsia="仿宋_GB2312" w:cs="Times New Roman"/>
          <w:sz w:val="32"/>
          <w:szCs w:val="32"/>
        </w:rPr>
        <w:t>负责提供指定品牌/厂商类物资编码的《编码申请指定品牌/厂商确认单》（因资产判定重新申请物资编码且物资说明未发生变化时，无需提供）；</w:t>
      </w:r>
    </w:p>
    <w:p>
      <w:pPr>
        <w:spacing w:line="560" w:lineRule="exact"/>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5.</w:t>
      </w:r>
      <w:r>
        <w:rPr>
          <w:rFonts w:ascii="Times New Roman" w:hAnsi="Times New Roman" w:eastAsia="仿宋_GB2312" w:cs="Times New Roman"/>
          <w:sz w:val="32"/>
          <w:szCs w:val="32"/>
        </w:rPr>
        <w:t>配合做好运营</w:t>
      </w:r>
      <w:r>
        <w:rPr>
          <w:rFonts w:hint="eastAsia" w:ascii="Times New Roman" w:hAnsi="Times New Roman" w:eastAsia="仿宋_GB2312" w:cs="Times New Roman"/>
          <w:sz w:val="32"/>
          <w:szCs w:val="32"/>
          <w:lang w:val="en-US" w:eastAsia="zh-CN"/>
        </w:rPr>
        <w:t>分</w:t>
      </w:r>
      <w:r>
        <w:rPr>
          <w:rFonts w:hint="eastAsia" w:ascii="Times New Roman" w:hAnsi="Times New Roman" w:eastAsia="仿宋_GB2312" w:cs="Times New Roman"/>
          <w:sz w:val="32"/>
          <w:szCs w:val="32"/>
        </w:rPr>
        <w:t>公司</w:t>
      </w:r>
      <w:r>
        <w:rPr>
          <w:rFonts w:ascii="Times New Roman" w:hAnsi="Times New Roman" w:eastAsia="仿宋_GB2312" w:cs="Times New Roman"/>
          <w:sz w:val="32"/>
          <w:szCs w:val="32"/>
        </w:rPr>
        <w:t>物资编码的相关维护管理工作；</w:t>
      </w:r>
    </w:p>
    <w:p>
      <w:pPr>
        <w:spacing w:line="560" w:lineRule="exact"/>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6.</w:t>
      </w:r>
      <w:r>
        <w:rPr>
          <w:rFonts w:ascii="Times New Roman" w:hAnsi="Times New Roman" w:eastAsia="仿宋_GB2312" w:cs="Times New Roman"/>
          <w:sz w:val="32"/>
          <w:szCs w:val="32"/>
        </w:rPr>
        <w:t>负责提供资产分类选择判定依据，包括是否可独立使用、使用年限、价格等；</w:t>
      </w:r>
    </w:p>
    <w:p>
      <w:pPr>
        <w:spacing w:line="560" w:lineRule="exact"/>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7.</w:t>
      </w:r>
      <w:r>
        <w:rPr>
          <w:rFonts w:ascii="Times New Roman" w:hAnsi="Times New Roman" w:eastAsia="仿宋_GB2312" w:cs="Times New Roman"/>
          <w:sz w:val="32"/>
          <w:szCs w:val="32"/>
        </w:rPr>
        <w:t>对于所申请/使用的编码信息正确性负责，包括其名称、品牌、厂商、型号、技术参数、计量单位、预算指导价、物资类型等。</w:t>
      </w:r>
    </w:p>
    <w:p>
      <w:pPr>
        <w:spacing w:line="560" w:lineRule="exact"/>
        <w:ind w:firstLine="640" w:firstLineChars="200"/>
        <w:outlineLvl w:val="0"/>
        <w:rPr>
          <w:rFonts w:ascii="Times New Roman" w:hAnsi="Times New Roman" w:eastAsia="黑体" w:cs="Times New Roman"/>
          <w:sz w:val="32"/>
          <w:szCs w:val="32"/>
        </w:rPr>
      </w:pPr>
      <w:r>
        <w:rPr>
          <w:rFonts w:hint="eastAsia" w:ascii="Times New Roman" w:hAnsi="Times New Roman" w:eastAsia="黑体" w:cs="Times New Roman"/>
          <w:sz w:val="32"/>
          <w:szCs w:val="32"/>
        </w:rPr>
        <w:t>四、工作流程及标准</w:t>
      </w:r>
    </w:p>
    <w:p>
      <w:pPr>
        <w:spacing w:line="560" w:lineRule="exact"/>
        <w:ind w:firstLine="640" w:firstLineChars="200"/>
        <w:outlineLvl w:val="1"/>
        <w:rPr>
          <w:rFonts w:ascii="楷体_GB2312" w:hAnsi="楷体_GB2312" w:eastAsia="楷体_GB2312" w:cs="楷体_GB2312"/>
          <w:sz w:val="32"/>
          <w:szCs w:val="32"/>
        </w:rPr>
      </w:pPr>
      <w:r>
        <w:rPr>
          <w:rFonts w:hint="eastAsia" w:ascii="楷体_GB2312" w:hAnsi="楷体_GB2312" w:eastAsia="楷体_GB2312" w:cs="楷体_GB2312"/>
          <w:sz w:val="32"/>
          <w:szCs w:val="32"/>
        </w:rPr>
        <w:t>（一）编码申请、修订总体要求</w:t>
      </w:r>
    </w:p>
    <w:p>
      <w:pPr>
        <w:spacing w:line="560" w:lineRule="exact"/>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1.编码申请、修订遵循规范性、准确性、全面性、唯一性原则，</w:t>
      </w:r>
      <w:r>
        <w:rPr>
          <w:rFonts w:ascii="Times New Roman" w:hAnsi="Times New Roman" w:eastAsia="仿宋_GB2312" w:cs="Times New Roman"/>
          <w:sz w:val="32"/>
          <w:szCs w:val="32"/>
        </w:rPr>
        <w:t>杜绝重复申请造成一物多码</w:t>
      </w:r>
      <w:r>
        <w:rPr>
          <w:rFonts w:hint="eastAsia" w:ascii="Times New Roman" w:hAnsi="Times New Roman" w:eastAsia="仿宋_GB2312" w:cs="Times New Roman"/>
          <w:sz w:val="32"/>
          <w:szCs w:val="32"/>
        </w:rPr>
        <w:t>。</w:t>
      </w:r>
    </w:p>
    <w:p>
      <w:pPr>
        <w:spacing w:line="560" w:lineRule="exact"/>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2.编码申请、修订时严格对照《编码申请/修订自查问题表》问题逐一自查自问，以保证编码物资说明的准确性、全面性。</w:t>
      </w:r>
    </w:p>
    <w:p>
      <w:pPr>
        <w:spacing w:line="560" w:lineRule="exact"/>
        <w:ind w:firstLine="640" w:firstLineChars="200"/>
        <w:outlineLvl w:val="1"/>
        <w:rPr>
          <w:rFonts w:ascii="楷体_GB2312" w:hAnsi="楷体_GB2312" w:eastAsia="楷体_GB2312" w:cs="楷体_GB2312"/>
          <w:sz w:val="32"/>
          <w:szCs w:val="32"/>
        </w:rPr>
      </w:pPr>
      <w:r>
        <w:rPr>
          <w:rFonts w:hint="eastAsia" w:ascii="楷体_GB2312" w:hAnsi="楷体_GB2312" w:eastAsia="楷体_GB2312" w:cs="楷体_GB2312"/>
          <w:sz w:val="32"/>
          <w:szCs w:val="32"/>
        </w:rPr>
        <w:t>（二）编码申请</w:t>
      </w:r>
    </w:p>
    <w:p>
      <w:pPr>
        <w:spacing w:line="560" w:lineRule="exact"/>
        <w:ind w:firstLine="640" w:firstLineChars="200"/>
        <w:outlineLvl w:val="2"/>
        <w:rPr>
          <w:rFonts w:ascii="Times New Roman" w:hAnsi="Times New Roman" w:eastAsia="仿宋_GB2312" w:cs="Times New Roman"/>
          <w:sz w:val="32"/>
          <w:szCs w:val="32"/>
        </w:rPr>
      </w:pPr>
      <w:r>
        <w:rPr>
          <w:rFonts w:ascii="Times New Roman" w:hAnsi="Times New Roman" w:eastAsia="仿宋_GB2312" w:cs="Times New Roman"/>
          <w:sz w:val="32"/>
          <w:szCs w:val="32"/>
        </w:rPr>
        <w:t>1.</w:t>
      </w:r>
      <w:r>
        <w:rPr>
          <w:rFonts w:hint="eastAsia" w:ascii="Times New Roman" w:hAnsi="Times New Roman" w:eastAsia="仿宋_GB2312" w:cs="Times New Roman"/>
          <w:sz w:val="32"/>
          <w:szCs w:val="32"/>
        </w:rPr>
        <w:t>编码申请前查验</w:t>
      </w:r>
    </w:p>
    <w:p>
      <w:pPr>
        <w:spacing w:line="560" w:lineRule="exact"/>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编码申请前查询现有编码库，在</w:t>
      </w:r>
      <w:r>
        <w:rPr>
          <w:rFonts w:ascii="Times New Roman" w:hAnsi="Times New Roman" w:eastAsia="仿宋_GB2312" w:cs="Times New Roman"/>
          <w:sz w:val="32"/>
          <w:szCs w:val="32"/>
        </w:rPr>
        <w:t>HAP-</w:t>
      </w:r>
      <w:r>
        <w:rPr>
          <w:rFonts w:hint="eastAsia" w:ascii="Times New Roman" w:hAnsi="Times New Roman" w:eastAsia="仿宋_GB2312" w:cs="Times New Roman"/>
          <w:sz w:val="32"/>
          <w:szCs w:val="32"/>
        </w:rPr>
        <w:t>基础管理</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编码跟踪模块无条件查询，可导出全量编码库清单，或根据物资名称搜索同类物资的编码，如规格型号与计划申请编码相同或存在差异但可满足需求时，无需重新申请。比如密封袋，目前编码库内的密封袋规格较多，如已有编码已满足公司使用要求，使用现有编码即可。</w:t>
      </w:r>
    </w:p>
    <w:p>
      <w:pPr>
        <w:spacing w:line="560" w:lineRule="exact"/>
        <w:ind w:firstLine="640" w:firstLineChars="200"/>
        <w:outlineLvl w:val="2"/>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2.系统入口</w:t>
      </w:r>
    </w:p>
    <w:p>
      <w:pPr>
        <w:spacing w:line="560" w:lineRule="exact"/>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EBS界面：SCM_运营[XX线路]_需求申报&gt;物资编码申请平台。</w:t>
      </w:r>
    </w:p>
    <w:p>
      <w:pPr>
        <w:spacing w:line="560" w:lineRule="exact"/>
        <w:ind w:firstLine="640" w:firstLineChars="200"/>
        <w:outlineLvl w:val="2"/>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3.权限管理</w:t>
      </w:r>
    </w:p>
    <w:p>
      <w:pPr>
        <w:spacing w:line="560" w:lineRule="exact"/>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SCM_运营[XX线路]_需求申报</w:t>
      </w:r>
    </w:p>
    <w:p>
      <w:pPr>
        <w:spacing w:line="560" w:lineRule="exact"/>
        <w:ind w:firstLine="640" w:firstLineChars="200"/>
        <w:outlineLvl w:val="2"/>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4.申请单创建</w:t>
      </w:r>
    </w:p>
    <w:p>
      <w:pPr>
        <w:spacing w:line="560" w:lineRule="exact"/>
        <w:ind w:firstLine="630" w:firstLineChars="300"/>
        <w:rPr>
          <w:rFonts w:ascii="Times New Roman" w:hAnsi="Times New Roman" w:eastAsia="仿宋_GB2312" w:cs="Times New Roman"/>
          <w:sz w:val="32"/>
          <w:szCs w:val="32"/>
        </w:rPr>
      </w:pPr>
      <w:r>
        <w:drawing>
          <wp:anchor distT="0" distB="0" distL="114300" distR="114300" simplePos="0" relativeHeight="251661312" behindDoc="0" locked="0" layoutInCell="1" allowOverlap="1">
            <wp:simplePos x="0" y="0"/>
            <wp:positionH relativeFrom="column">
              <wp:posOffset>1019810</wp:posOffset>
            </wp:positionH>
            <wp:positionV relativeFrom="paragraph">
              <wp:posOffset>554355</wp:posOffset>
            </wp:positionV>
            <wp:extent cx="4109085" cy="1583690"/>
            <wp:effectExtent l="0" t="0" r="5715" b="16510"/>
            <wp:wrapTopAndBottom/>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5"/>
                    <a:stretch>
                      <a:fillRect/>
                    </a:stretch>
                  </pic:blipFill>
                  <pic:spPr>
                    <a:xfrm>
                      <a:off x="0" y="0"/>
                      <a:ext cx="4109085" cy="1583690"/>
                    </a:xfrm>
                    <a:prstGeom prst="rect">
                      <a:avLst/>
                    </a:prstGeom>
                    <a:noFill/>
                    <a:ln>
                      <a:noFill/>
                    </a:ln>
                  </pic:spPr>
                </pic:pic>
              </a:graphicData>
            </a:graphic>
          </wp:anchor>
        </w:drawing>
      </w:r>
      <w:r>
        <w:rPr>
          <w:rFonts w:hint="eastAsia" w:ascii="Times New Roman" w:hAnsi="Times New Roman" w:eastAsia="仿宋_GB2312" w:cs="Times New Roman"/>
          <w:sz w:val="32"/>
          <w:szCs w:val="32"/>
        </w:rPr>
        <w:t>4.1编码申请人员点击需求申报职责，选择“物资编码申请平台”，等待2-3秒，弹出JAVA界面，进入界面后，点击【新建】按钮，新建物资编码申请单据。</w:t>
      </w:r>
    </w:p>
    <w:p>
      <w:pPr>
        <w:jc w:val="center"/>
        <w:rPr>
          <w:rFonts w:ascii="Times New Roman" w:hAnsi="Times New Roman" w:eastAsia="仿宋_GB2312" w:cs="Times New Roman"/>
          <w:sz w:val="32"/>
          <w:szCs w:val="32"/>
        </w:rPr>
      </w:pPr>
      <w:r>
        <w:drawing>
          <wp:inline distT="0" distB="0" distL="114935" distR="114935">
            <wp:extent cx="4059555" cy="1848485"/>
            <wp:effectExtent l="0" t="0" r="17145" b="1841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6"/>
                    <a:stretch>
                      <a:fillRect/>
                    </a:stretch>
                  </pic:blipFill>
                  <pic:spPr>
                    <a:xfrm>
                      <a:off x="0" y="0"/>
                      <a:ext cx="4059555" cy="1848485"/>
                    </a:xfrm>
                    <a:prstGeom prst="rect">
                      <a:avLst/>
                    </a:prstGeom>
                    <a:noFill/>
                    <a:ln>
                      <a:noFill/>
                    </a:ln>
                  </pic:spPr>
                </pic:pic>
              </a:graphicData>
            </a:graphic>
          </wp:inline>
        </w:drawing>
      </w:r>
    </w:p>
    <w:p>
      <w:pPr>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4.2编码申请表头信息填写</w:t>
      </w:r>
    </w:p>
    <w:p>
      <w:pPr>
        <w:jc w:val="center"/>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drawing>
          <wp:inline distT="0" distB="0" distL="114935" distR="114935">
            <wp:extent cx="5110480" cy="2405380"/>
            <wp:effectExtent l="0" t="0" r="13970" b="13970"/>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pic:cNvPicPr>
                      <a:picLocks noChangeAspect="1"/>
                    </pic:cNvPicPr>
                  </pic:nvPicPr>
                  <pic:blipFill>
                    <a:blip r:embed="rId7"/>
                    <a:stretch>
                      <a:fillRect/>
                    </a:stretch>
                  </pic:blipFill>
                  <pic:spPr>
                    <a:xfrm>
                      <a:off x="0" y="0"/>
                      <a:ext cx="5110480" cy="2405380"/>
                    </a:xfrm>
                    <a:prstGeom prst="rect">
                      <a:avLst/>
                    </a:prstGeom>
                    <a:noFill/>
                    <a:ln>
                      <a:noFill/>
                    </a:ln>
                  </pic:spPr>
                </pic:pic>
              </a:graphicData>
            </a:graphic>
          </wp:inline>
        </w:drawing>
      </w:r>
    </w:p>
    <w:p>
      <w:pPr>
        <w:spacing w:line="560" w:lineRule="exact"/>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编码申请人员录入表头信息（黄色字段必填，白色字段依需填写）。【申请单号、申请人、申请人部门、申请日期、复核人、状态、复核日期】字段为系统自动生成，无需填写。</w:t>
      </w:r>
    </w:p>
    <w:p>
      <w:pPr>
        <w:spacing w:line="560" w:lineRule="exact"/>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【申请类型】选择【运营分公司 张弓】。</w:t>
      </w:r>
    </w:p>
    <w:p>
      <w:pPr>
        <w:spacing w:line="560" w:lineRule="exact"/>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申请说明】，如果是建设移交物资需要注明“建设移交”+“线路”+“整改复核单号”（如无整改复核单，填写资产移交事务处理单号），例：建设移交14号线一期YJ20230118002；非建设移交物资，需要注明新增编码的原因，如XXX创新项目新增编码申请、XXX工作室自主研发物资编码申请、线路+专业新增需求编码申请、XXX用途使用物资编码申请等。全部填写完毕后，点击上方的“保存”按钮，生成物资编码申请单号。</w:t>
      </w:r>
    </w:p>
    <w:p>
      <w:pPr>
        <w:spacing w:line="560" w:lineRule="exact"/>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4.3编码申请表行信息填写</w:t>
      </w:r>
    </w:p>
    <w:p>
      <w:pPr>
        <w:spacing w:line="560" w:lineRule="exact"/>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编码申请人员创建行，按照从左到右的顺序，填写各个字段。</w:t>
      </w:r>
    </w:p>
    <w:p>
      <w:pPr>
        <w:pStyle w:val="4"/>
        <w:jc w:val="center"/>
        <w:rPr>
          <w:rFonts w:ascii="Times New Roman" w:hAnsi="Times New Roman" w:eastAsia="仿宋_GB2312" w:cs="Times New Roman"/>
          <w:sz w:val="32"/>
          <w:szCs w:val="32"/>
        </w:rPr>
      </w:pPr>
      <w:r>
        <w:drawing>
          <wp:inline distT="0" distB="0" distL="114300" distR="114300">
            <wp:extent cx="5238115" cy="1438910"/>
            <wp:effectExtent l="0" t="0" r="635" b="8890"/>
            <wp:docPr id="10" name="图片 10"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图片1"/>
                    <pic:cNvPicPr>
                      <a:picLocks noChangeAspect="1"/>
                    </pic:cNvPicPr>
                  </pic:nvPicPr>
                  <pic:blipFill>
                    <a:blip r:embed="rId8"/>
                    <a:stretch>
                      <a:fillRect/>
                    </a:stretch>
                  </pic:blipFill>
                  <pic:spPr>
                    <a:xfrm>
                      <a:off x="0" y="0"/>
                      <a:ext cx="5239546" cy="1439541"/>
                    </a:xfrm>
                    <a:prstGeom prst="rect">
                      <a:avLst/>
                    </a:prstGeom>
                  </pic:spPr>
                </pic:pic>
              </a:graphicData>
            </a:graphic>
          </wp:inline>
        </w:drawing>
      </w:r>
    </w:p>
    <w:p>
      <w:pPr>
        <w:spacing w:line="560" w:lineRule="exact"/>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4.3.1</w:t>
      </w:r>
      <w:r>
        <w:rPr>
          <w:rFonts w:hint="eastAsia" w:ascii="Times New Roman" w:hAnsi="Times New Roman" w:eastAsia="仿宋_GB2312" w:cs="Times New Roman"/>
          <w:sz w:val="32"/>
          <w:szCs w:val="32"/>
        </w:rPr>
        <w:t>【行号】创建行时自动生成，【物资编码】待编码申请单审批完成后自动生成。</w:t>
      </w:r>
    </w:p>
    <w:p>
      <w:pPr>
        <w:spacing w:line="560" w:lineRule="exact"/>
        <w:ind w:firstLine="640" w:firstLineChars="200"/>
        <w:rPr>
          <w:rFonts w:eastAsia="仿宋_GB2312" w:cs="Times New Roman"/>
          <w:sz w:val="32"/>
          <w:szCs w:val="32"/>
        </w:rPr>
      </w:pPr>
      <w:r>
        <w:rPr>
          <w:rFonts w:hint="eastAsia" w:ascii="Times New Roman" w:hAnsi="Times New Roman" w:eastAsia="仿宋_GB2312" w:cs="Times New Roman"/>
          <w:sz w:val="32"/>
          <w:szCs w:val="32"/>
        </w:rPr>
        <w:t>4.3.2【资产分类】共17大类，其中房屋构筑物及轨道设施、电客车、车辆运输设备（不含汽车）、AFC系统、机电系统、供电系统、信号系统、专用通信系统、警用通信系统、民用通信系统、通用设备等资产大类，原则上</w:t>
      </w:r>
      <w:r>
        <w:rPr>
          <w:rFonts w:hint="eastAsia" w:eastAsia="仿宋_GB2312" w:cs="Times New Roman"/>
          <w:sz w:val="32"/>
          <w:szCs w:val="32"/>
        </w:rPr>
        <w:t>是</w:t>
      </w:r>
      <w:r>
        <w:rPr>
          <w:rFonts w:hint="eastAsia" w:ascii="Times New Roman" w:hAnsi="Times New Roman" w:eastAsia="仿宋_GB2312" w:cs="Times New Roman"/>
          <w:sz w:val="32"/>
          <w:szCs w:val="32"/>
        </w:rPr>
        <w:t>依据各专业设备树生成资产分类</w:t>
      </w:r>
      <w:r>
        <w:rPr>
          <w:rFonts w:hint="eastAsia" w:eastAsia="仿宋_GB2312" w:cs="Times New Roman"/>
          <w:sz w:val="32"/>
          <w:szCs w:val="32"/>
        </w:rPr>
        <w:t>；</w:t>
      </w:r>
      <w:r>
        <w:rPr>
          <w:rFonts w:hint="eastAsia" w:ascii="Times New Roman" w:hAnsi="Times New Roman" w:eastAsia="仿宋_GB2312" w:cs="Times New Roman"/>
          <w:sz w:val="32"/>
          <w:szCs w:val="32"/>
        </w:rPr>
        <w:t>工具及器具、办公用具、专用设备等资产大类，原则上依据资产分类惯例编制；各专业设备树下通用设备、通用子资产/设备模块去重后放入通用设备、标准与通用配件、生产辅助材料及其他非生产物资大类</w:t>
      </w:r>
      <w:r>
        <w:rPr>
          <w:rFonts w:hint="eastAsia" w:eastAsia="仿宋_GB2312" w:cs="Times New Roman"/>
          <w:sz w:val="32"/>
          <w:szCs w:val="32"/>
        </w:rPr>
        <w:t>。</w:t>
      </w:r>
    </w:p>
    <w:p>
      <w:pPr>
        <w:spacing w:line="560" w:lineRule="exact"/>
        <w:ind w:firstLine="640" w:firstLineChars="200"/>
        <w:rPr>
          <w:rFonts w:eastAsia="仿宋_GB2312"/>
          <w:sz w:val="32"/>
          <w:szCs w:val="22"/>
          <w:highlight w:val="none"/>
          <w:lang w:bidi="ar"/>
        </w:rPr>
      </w:pPr>
      <w:r>
        <w:rPr>
          <w:rFonts w:hint="eastAsia" w:eastAsia="仿宋_GB2312" w:cs="Times New Roman"/>
          <w:sz w:val="32"/>
          <w:szCs w:val="32"/>
          <w:highlight w:val="none"/>
        </w:rPr>
        <w:t>选择【资产分类】时要</w:t>
      </w:r>
      <w:r>
        <w:rPr>
          <w:rFonts w:hint="eastAsia" w:ascii="Times New Roman" w:hAnsi="Times New Roman" w:eastAsia="仿宋_GB2312" w:cs="Times New Roman"/>
          <w:sz w:val="32"/>
          <w:szCs w:val="32"/>
          <w:highlight w:val="none"/>
        </w:rPr>
        <w:t>与实物本身相对应，</w:t>
      </w:r>
      <w:r>
        <w:rPr>
          <w:rFonts w:hint="eastAsia" w:ascii="Times New Roman" w:hAnsi="Times New Roman" w:eastAsia="仿宋_GB2312" w:cs="Times New Roman"/>
          <w:sz w:val="32"/>
          <w:szCs w:val="22"/>
          <w:highlight w:val="none"/>
          <w:lang w:bidi="ar"/>
        </w:rPr>
        <w:t>如物资为固定资产或低值易耗品的，须匹配</w:t>
      </w:r>
      <w:r>
        <w:rPr>
          <w:rFonts w:hint="eastAsia" w:eastAsia="仿宋_GB2312" w:cs="Times New Roman"/>
          <w:sz w:val="32"/>
          <w:szCs w:val="22"/>
          <w:highlight w:val="none"/>
          <w:lang w:bidi="ar"/>
        </w:rPr>
        <w:t>到</w:t>
      </w:r>
      <w:r>
        <w:rPr>
          <w:rFonts w:hint="eastAsia" w:ascii="Times New Roman" w:hAnsi="Times New Roman" w:eastAsia="仿宋_GB2312" w:cs="Times New Roman"/>
          <w:sz w:val="32"/>
          <w:szCs w:val="22"/>
          <w:highlight w:val="none"/>
          <w:lang w:bidi="ar"/>
        </w:rPr>
        <w:t>资产分类1-14大类</w:t>
      </w:r>
      <w:r>
        <w:rPr>
          <w:rFonts w:hint="eastAsia" w:eastAsia="仿宋_GB2312" w:cs="Times New Roman"/>
          <w:sz w:val="32"/>
          <w:szCs w:val="22"/>
          <w:highlight w:val="none"/>
          <w:lang w:bidi="ar"/>
        </w:rPr>
        <w:t>中</w:t>
      </w:r>
      <w:r>
        <w:rPr>
          <w:rFonts w:hint="eastAsia" w:ascii="Times New Roman" w:hAnsi="Times New Roman" w:eastAsia="仿宋_GB2312" w:cs="Times New Roman"/>
          <w:sz w:val="32"/>
          <w:szCs w:val="22"/>
          <w:highlight w:val="none"/>
          <w:lang w:bidi="ar"/>
        </w:rPr>
        <w:t>三级对应的设备名称（三级半）</w:t>
      </w:r>
      <w:r>
        <w:rPr>
          <w:rFonts w:hint="eastAsia" w:eastAsia="仿宋_GB2312" w:cs="Times New Roman"/>
          <w:sz w:val="32"/>
          <w:szCs w:val="22"/>
          <w:highlight w:val="none"/>
          <w:lang w:bidi="ar"/>
        </w:rPr>
        <w:t>；如物资为设备专用备品备件，应优先</w:t>
      </w:r>
      <w:r>
        <w:rPr>
          <w:rFonts w:hint="eastAsia" w:ascii="Times New Roman" w:hAnsi="Times New Roman" w:eastAsia="仿宋_GB2312" w:cs="Times New Roman"/>
          <w:sz w:val="32"/>
          <w:szCs w:val="22"/>
          <w:highlight w:val="none"/>
          <w:lang w:bidi="ar"/>
        </w:rPr>
        <w:t>匹配资产分类1-14大类，</w:t>
      </w:r>
      <w:r>
        <w:rPr>
          <w:rFonts w:hint="eastAsia" w:eastAsia="仿宋_GB2312" w:cs="Times New Roman"/>
          <w:sz w:val="32"/>
          <w:szCs w:val="22"/>
          <w:highlight w:val="none"/>
          <w:lang w:bidi="ar"/>
        </w:rPr>
        <w:t>四</w:t>
      </w:r>
      <w:r>
        <w:rPr>
          <w:rFonts w:hint="eastAsia" w:ascii="Times New Roman" w:hAnsi="Times New Roman" w:eastAsia="仿宋_GB2312" w:cs="Times New Roman"/>
          <w:sz w:val="32"/>
          <w:szCs w:val="22"/>
          <w:highlight w:val="none"/>
          <w:lang w:bidi="ar"/>
        </w:rPr>
        <w:t>级对应的</w:t>
      </w:r>
      <w:r>
        <w:rPr>
          <w:rFonts w:hint="eastAsia" w:eastAsia="仿宋_GB2312" w:cs="Times New Roman"/>
          <w:sz w:val="32"/>
          <w:szCs w:val="22"/>
          <w:highlight w:val="none"/>
          <w:lang w:bidi="ar"/>
        </w:rPr>
        <w:t>资产</w:t>
      </w:r>
      <w:r>
        <w:rPr>
          <w:rFonts w:hint="eastAsia" w:ascii="Times New Roman" w:hAnsi="Times New Roman" w:eastAsia="仿宋_GB2312" w:cs="Times New Roman"/>
          <w:sz w:val="32"/>
          <w:szCs w:val="22"/>
          <w:highlight w:val="none"/>
          <w:lang w:bidi="ar"/>
        </w:rPr>
        <w:t>名称（</w:t>
      </w:r>
      <w:r>
        <w:rPr>
          <w:rFonts w:hint="eastAsia" w:eastAsia="仿宋_GB2312" w:cs="Times New Roman"/>
          <w:sz w:val="32"/>
          <w:szCs w:val="22"/>
          <w:highlight w:val="none"/>
          <w:lang w:bidi="ar"/>
        </w:rPr>
        <w:t>四</w:t>
      </w:r>
      <w:r>
        <w:rPr>
          <w:rFonts w:hint="eastAsia" w:ascii="Times New Roman" w:hAnsi="Times New Roman" w:eastAsia="仿宋_GB2312" w:cs="Times New Roman"/>
          <w:sz w:val="32"/>
          <w:szCs w:val="22"/>
          <w:highlight w:val="none"/>
          <w:lang w:bidi="ar"/>
        </w:rPr>
        <w:t>级半）</w:t>
      </w:r>
      <w:r>
        <w:rPr>
          <w:rFonts w:hint="eastAsia" w:eastAsia="仿宋_GB2312" w:cs="Times New Roman"/>
          <w:sz w:val="32"/>
          <w:szCs w:val="22"/>
          <w:highlight w:val="none"/>
          <w:lang w:bidi="ar"/>
        </w:rPr>
        <w:t>；</w:t>
      </w:r>
      <w:r>
        <w:rPr>
          <w:rFonts w:hint="eastAsia" w:ascii="Times New Roman" w:hAnsi="Times New Roman" w:eastAsia="仿宋_GB2312" w:cs="Times New Roman"/>
          <w:sz w:val="32"/>
          <w:szCs w:val="22"/>
          <w:highlight w:val="none"/>
          <w:lang w:bidi="ar"/>
        </w:rPr>
        <w:t>如物资为</w:t>
      </w:r>
      <w:r>
        <w:rPr>
          <w:rFonts w:hint="eastAsia" w:ascii="Times New Roman" w:hAnsi="Times New Roman" w:eastAsia="仿宋_GB2312" w:cs="Times New Roman"/>
          <w:sz w:val="32"/>
          <w:szCs w:val="32"/>
          <w:highlight w:val="none"/>
        </w:rPr>
        <w:t>标准与通用配件、生产辅助材料及其他非生产物资大类</w:t>
      </w:r>
      <w:r>
        <w:rPr>
          <w:rFonts w:hint="eastAsia" w:eastAsia="仿宋_GB2312"/>
          <w:sz w:val="32"/>
          <w:szCs w:val="22"/>
          <w:highlight w:val="none"/>
          <w:lang w:bidi="ar"/>
        </w:rPr>
        <w:t>，应匹配资产分类15-17大类。</w:t>
      </w:r>
    </w:p>
    <w:p>
      <w:pPr>
        <w:spacing w:line="560" w:lineRule="exact"/>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如为建设移交物资，需要与移交单的资产类别一致，如果建设移交的资产类别与编码本身正确的资产类别不一致时，需要在技术参数内注明“建设移交物资，不用于提报需求采购”。</w:t>
      </w:r>
    </w:p>
    <w:p>
      <w:pPr>
        <w:spacing w:line="560" w:lineRule="exact"/>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无可用【资产分类】时，需要联系财务部资产管理室编码审核经办人进行新增，资产分类必须使用正确。</w:t>
      </w:r>
    </w:p>
    <w:p>
      <w:pPr>
        <w:spacing w:line="560" w:lineRule="exact"/>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4.3.3【资产分类说明】根据资产分类自动带出。</w:t>
      </w:r>
    </w:p>
    <w:p>
      <w:pPr>
        <w:spacing w:line="560" w:lineRule="exact"/>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4.3.4【资产标识】根据资产分类自动带出。分为固定资产、低值易耗、库存物资、低值易耗（价值判定）、固定资产（价值判定）、固定资产&amp;低值易耗（价值判定）。</w:t>
      </w:r>
    </w:p>
    <w:p>
      <w:pPr>
        <w:spacing w:line="560" w:lineRule="exact"/>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4.3.5【物资类型】有备品备件、生产性耗材、工器具、设施设备、家具、办公用品（含电子产品、电器）、消防用品、劳防用品、劳保用品（含医药用品）、软件及服务共10个类型。物资类型与资产属性不能矛盾，与物资属性、用途要适配：备品备件类含有资产标识为“库存物资”的物资；设施设备类含有资产标识为“固定资产、低值易耗、固定资产（价值判定）、低值易耗（价值判定）或固定资产&amp;低值易耗（价值判定）”的物资。物资类型划分如下，物资类型选择时需要参考附件1中的原则进行选择。</w:t>
      </w:r>
    </w:p>
    <w:p>
      <w:pPr>
        <w:spacing w:line="560" w:lineRule="exact"/>
        <w:ind w:firstLine="640" w:firstLineChars="200"/>
        <w:rPr>
          <w:rFonts w:ascii="Times New Roman" w:hAnsi="Times New Roman" w:eastAsia="仿宋_GB2312" w:cs="Times New Roman"/>
          <w:b/>
          <w:bCs/>
          <w:sz w:val="32"/>
          <w:szCs w:val="32"/>
        </w:rPr>
      </w:pPr>
      <w:r>
        <w:rPr>
          <w:rFonts w:hint="eastAsia" w:ascii="Times New Roman" w:hAnsi="Times New Roman" w:eastAsia="仿宋_GB2312" w:cs="Times New Roman"/>
          <w:sz w:val="32"/>
          <w:szCs w:val="32"/>
        </w:rPr>
        <w:t>a）家具：是指维持正常办公、生产活动，在运营一线或办公现场配置的各类家具。</w:t>
      </w:r>
    </w:p>
    <w:p>
      <w:pPr>
        <w:spacing w:line="560" w:lineRule="exact"/>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b）工器具：是指地铁日常运营管理、检修维保作业中使用的工具、器具或仪器仪表，资产分类04/工具及器具大类下的物资为工器具。</w:t>
      </w:r>
      <w:r>
        <w:rPr>
          <w:rFonts w:hint="eastAsia" w:ascii="Times New Roman" w:hAnsi="Times New Roman" w:eastAsia="仿宋_GB2312" w:cs="Times New Roman"/>
          <w:b/>
          <w:bCs/>
          <w:sz w:val="32"/>
          <w:szCs w:val="32"/>
        </w:rPr>
        <w:t>（工器具、设施设备的物资类型，尚未定稿）</w:t>
      </w:r>
    </w:p>
    <w:p>
      <w:pPr>
        <w:spacing w:line="560" w:lineRule="exact"/>
        <w:ind w:firstLine="640" w:firstLineChars="200"/>
        <w:rPr>
          <w:rFonts w:ascii="Times New Roman" w:hAnsi="Times New Roman" w:eastAsia="仿宋_GB2312" w:cs="Times New Roman"/>
          <w:sz w:val="32"/>
          <w:szCs w:val="32"/>
          <w:lang w:bidi="ar"/>
        </w:rPr>
      </w:pPr>
      <w:r>
        <w:rPr>
          <w:rFonts w:ascii="Times New Roman" w:hAnsi="Times New Roman" w:eastAsia="仿宋_GB2312" w:cs="Times New Roman"/>
          <w:sz w:val="32"/>
          <w:szCs w:val="32"/>
        </w:rPr>
        <w:t>c</w:t>
      </w:r>
      <w:r>
        <w:rPr>
          <w:rFonts w:hint="eastAsia" w:ascii="Times New Roman" w:hAnsi="Times New Roman" w:eastAsia="仿宋_GB2312" w:cs="Times New Roman"/>
          <w:sz w:val="32"/>
          <w:szCs w:val="32"/>
          <w:lang w:bidi="ar"/>
        </w:rPr>
        <w:t>）设施设备：是指为满足运营生产所使用的具有一定体积、功能独立的整套装置，</w:t>
      </w:r>
      <w:r>
        <w:rPr>
          <w:rFonts w:hint="eastAsia" w:ascii="Times New Roman" w:hAnsi="Times New Roman" w:eastAsia="仿宋_GB2312" w:cs="Times New Roman"/>
          <w:sz w:val="32"/>
          <w:szCs w:val="32"/>
        </w:rPr>
        <w:t>以及故障维修备用的成套固定资产（含价值判定）、低值易耗（含价值判定）物资</w:t>
      </w:r>
      <w:r>
        <w:rPr>
          <w:rFonts w:hint="eastAsia" w:ascii="Times New Roman" w:hAnsi="Times New Roman" w:eastAsia="仿宋_GB2312" w:cs="Times New Roman"/>
          <w:sz w:val="32"/>
          <w:szCs w:val="32"/>
          <w:lang w:bidi="ar"/>
        </w:rPr>
        <w:t>。</w:t>
      </w:r>
    </w:p>
    <w:p>
      <w:pPr>
        <w:spacing w:line="560" w:lineRule="exact"/>
        <w:ind w:firstLine="640" w:firstLineChars="200"/>
        <w:rPr>
          <w:rFonts w:ascii="Times New Roman" w:hAnsi="Times New Roman" w:eastAsia="仿宋_GB2312" w:cs="Times New Roman"/>
          <w:sz w:val="32"/>
          <w:szCs w:val="32"/>
          <w:lang w:bidi="ar"/>
        </w:rPr>
      </w:pPr>
      <w:r>
        <w:rPr>
          <w:rFonts w:hint="eastAsia" w:ascii="Times New Roman" w:hAnsi="Times New Roman" w:eastAsia="仿宋_GB2312" w:cs="Times New Roman"/>
          <w:sz w:val="32"/>
          <w:szCs w:val="32"/>
          <w:lang w:bidi="ar"/>
        </w:rPr>
        <w:t>d</w:t>
      </w:r>
      <w:r>
        <w:rPr>
          <w:rFonts w:hint="eastAsia" w:ascii="Times New Roman" w:hAnsi="Times New Roman" w:eastAsia="仿宋_GB2312" w:cs="Times New Roman"/>
          <w:sz w:val="32"/>
          <w:szCs w:val="32"/>
        </w:rPr>
        <w:t>）备品备件：</w:t>
      </w:r>
      <w:r>
        <w:rPr>
          <w:rFonts w:hint="eastAsia" w:ascii="Times New Roman" w:hAnsi="Times New Roman" w:eastAsia="仿宋_GB2312" w:cs="Times New Roman"/>
          <w:sz w:val="32"/>
          <w:szCs w:val="32"/>
          <w:lang w:bidi="ar"/>
        </w:rPr>
        <w:t>是指运营生产部门在设备检修维护过程中用于更换的零部件及组件。</w:t>
      </w:r>
    </w:p>
    <w:p>
      <w:pPr>
        <w:spacing w:line="560" w:lineRule="exact"/>
        <w:ind w:firstLine="640" w:firstLineChars="200"/>
        <w:rPr>
          <w:rFonts w:ascii="Times New Roman" w:hAnsi="Times New Roman" w:eastAsia="仿宋_GB2312" w:cs="Times New Roman"/>
          <w:sz w:val="32"/>
          <w:szCs w:val="32"/>
          <w:lang w:bidi="ar"/>
        </w:rPr>
      </w:pPr>
      <w:r>
        <w:rPr>
          <w:rFonts w:hint="eastAsia" w:ascii="Times New Roman" w:hAnsi="Times New Roman" w:eastAsia="仿宋_GB2312" w:cs="Times New Roman"/>
          <w:sz w:val="32"/>
          <w:szCs w:val="32"/>
          <w:lang w:bidi="ar"/>
        </w:rPr>
        <w:t>e）生产性耗材：是指地铁日常运营管理、检修维保过程中易损耗、更换频繁且非设备组成部分的材料。</w:t>
      </w:r>
    </w:p>
    <w:p>
      <w:pPr>
        <w:spacing w:line="560" w:lineRule="exact"/>
        <w:ind w:firstLine="640" w:firstLineChars="200"/>
        <w:rPr>
          <w:rFonts w:ascii="Times New Roman" w:hAnsi="Times New Roman" w:eastAsia="仿宋_GB2312" w:cs="Times New Roman"/>
          <w:sz w:val="32"/>
          <w:szCs w:val="32"/>
          <w:lang w:bidi="ar"/>
        </w:rPr>
      </w:pPr>
      <w:r>
        <w:rPr>
          <w:rFonts w:hint="eastAsia" w:ascii="Times New Roman" w:hAnsi="Times New Roman" w:eastAsia="仿宋_GB2312" w:cs="Times New Roman"/>
          <w:sz w:val="32"/>
          <w:szCs w:val="32"/>
          <w:lang w:bidi="ar"/>
        </w:rPr>
        <w:t>f）办公用品：是指运营管理中用于正线或工作现场辅助员工生产或办公的用品，包含电子类办公用品、电器、非电子类办公用品。</w:t>
      </w:r>
    </w:p>
    <w:p>
      <w:pPr>
        <w:spacing w:line="560" w:lineRule="exact"/>
        <w:ind w:firstLine="640" w:firstLineChars="200"/>
        <w:rPr>
          <w:rFonts w:ascii="Times New Roman" w:hAnsi="Times New Roman" w:eastAsia="仿宋_GB2312" w:cs="Times New Roman"/>
          <w:sz w:val="32"/>
          <w:szCs w:val="32"/>
          <w:lang w:bidi="ar"/>
        </w:rPr>
      </w:pPr>
      <w:r>
        <w:rPr>
          <w:rFonts w:hint="eastAsia" w:ascii="Times New Roman" w:hAnsi="Times New Roman" w:eastAsia="仿宋_GB2312" w:cs="Times New Roman"/>
          <w:sz w:val="32"/>
          <w:szCs w:val="32"/>
          <w:lang w:bidi="ar"/>
        </w:rPr>
        <w:t>g）</w:t>
      </w:r>
      <w:r>
        <w:rPr>
          <w:rFonts w:ascii="Times New Roman" w:hAnsi="Times New Roman" w:eastAsia="仿宋_GB2312" w:cs="Times New Roman"/>
          <w:sz w:val="32"/>
          <w:szCs w:val="32"/>
          <w:lang w:bidi="ar"/>
        </w:rPr>
        <w:t>消防用品</w:t>
      </w:r>
      <w:r>
        <w:rPr>
          <w:rFonts w:hint="eastAsia" w:ascii="Times New Roman" w:hAnsi="Times New Roman" w:eastAsia="仿宋_GB2312" w:cs="Times New Roman"/>
          <w:sz w:val="32"/>
          <w:szCs w:val="32"/>
          <w:lang w:bidi="ar"/>
        </w:rPr>
        <w:t>：是指用于公司灭火、防火以及处理火灾事故的器材。</w:t>
      </w:r>
    </w:p>
    <w:p>
      <w:pPr>
        <w:spacing w:line="560" w:lineRule="exact"/>
        <w:ind w:firstLine="640" w:firstLineChars="200"/>
        <w:rPr>
          <w:rFonts w:ascii="Times New Roman" w:hAnsi="Times New Roman" w:eastAsia="仿宋_GB2312" w:cs="Times New Roman"/>
          <w:sz w:val="32"/>
          <w:szCs w:val="32"/>
          <w:lang w:bidi="ar"/>
        </w:rPr>
      </w:pPr>
      <w:r>
        <w:rPr>
          <w:rFonts w:hint="eastAsia" w:ascii="Times New Roman" w:hAnsi="Times New Roman" w:eastAsia="仿宋_GB2312" w:cs="Times New Roman"/>
          <w:sz w:val="32"/>
          <w:szCs w:val="32"/>
          <w:lang w:bidi="ar"/>
        </w:rPr>
        <w:t>h）</w:t>
      </w:r>
      <w:r>
        <w:rPr>
          <w:rFonts w:ascii="Times New Roman" w:hAnsi="Times New Roman" w:eastAsia="仿宋_GB2312" w:cs="Times New Roman"/>
          <w:sz w:val="32"/>
          <w:szCs w:val="32"/>
          <w:lang w:bidi="ar"/>
        </w:rPr>
        <w:t>劳防用品</w:t>
      </w:r>
      <w:r>
        <w:rPr>
          <w:rFonts w:hint="eastAsia" w:ascii="Times New Roman" w:hAnsi="Times New Roman" w:eastAsia="仿宋_GB2312" w:cs="Times New Roman"/>
          <w:sz w:val="32"/>
          <w:szCs w:val="32"/>
          <w:lang w:bidi="ar"/>
        </w:rPr>
        <w:t>：是指公司为从业人员配备的使其在劳动过程中免遭或者减轻事故伤害及职业危害的个人防护装备。</w:t>
      </w:r>
    </w:p>
    <w:p>
      <w:pPr>
        <w:spacing w:line="560" w:lineRule="exact"/>
        <w:ind w:firstLine="640" w:firstLineChars="200"/>
        <w:rPr>
          <w:rFonts w:ascii="Times New Roman" w:hAnsi="Times New Roman" w:eastAsia="仿宋_GB2312" w:cs="Times New Roman"/>
          <w:sz w:val="32"/>
          <w:szCs w:val="32"/>
          <w:lang w:bidi="ar"/>
        </w:rPr>
      </w:pPr>
      <w:r>
        <w:rPr>
          <w:rFonts w:hint="eastAsia" w:ascii="Times New Roman" w:hAnsi="Times New Roman" w:eastAsia="仿宋_GB2312" w:cs="Times New Roman"/>
          <w:sz w:val="32"/>
          <w:szCs w:val="32"/>
          <w:lang w:bidi="ar"/>
        </w:rPr>
        <w:t>i）</w:t>
      </w:r>
      <w:r>
        <w:rPr>
          <w:rFonts w:ascii="Times New Roman" w:hAnsi="Times New Roman" w:eastAsia="仿宋_GB2312" w:cs="Times New Roman"/>
          <w:sz w:val="32"/>
          <w:szCs w:val="32"/>
          <w:lang w:bidi="ar"/>
        </w:rPr>
        <w:t>劳保用品（含医药用品）</w:t>
      </w:r>
      <w:r>
        <w:rPr>
          <w:rFonts w:hint="eastAsia" w:ascii="Times New Roman" w:hAnsi="Times New Roman" w:eastAsia="仿宋_GB2312" w:cs="Times New Roman"/>
          <w:sz w:val="32"/>
          <w:szCs w:val="32"/>
          <w:lang w:bidi="ar"/>
        </w:rPr>
        <w:t>：主要指为满足运营生产服务需要所准备的医疗器械、药物、工装及劳动保护的用品。</w:t>
      </w:r>
    </w:p>
    <w:p>
      <w:pPr>
        <w:spacing w:line="560" w:lineRule="exact"/>
        <w:ind w:firstLine="640" w:firstLineChars="200"/>
        <w:rPr>
          <w:rFonts w:ascii="Times New Roman" w:hAnsi="Times New Roman" w:eastAsia="仿宋_GB2312" w:cs="Times New Roman"/>
          <w:sz w:val="32"/>
          <w:szCs w:val="32"/>
          <w:lang w:bidi="ar"/>
        </w:rPr>
      </w:pPr>
      <w:r>
        <w:rPr>
          <w:rFonts w:hint="eastAsia" w:ascii="Times New Roman" w:hAnsi="Times New Roman" w:eastAsia="仿宋_GB2312" w:cs="Times New Roman"/>
          <w:sz w:val="32"/>
          <w:szCs w:val="32"/>
          <w:lang w:bidi="ar"/>
        </w:rPr>
        <w:t>j）</w:t>
      </w:r>
      <w:r>
        <w:rPr>
          <w:rFonts w:ascii="Times New Roman" w:hAnsi="Times New Roman" w:eastAsia="仿宋_GB2312" w:cs="Times New Roman"/>
          <w:sz w:val="32"/>
          <w:szCs w:val="32"/>
          <w:lang w:bidi="ar"/>
        </w:rPr>
        <w:t>软件及服务</w:t>
      </w:r>
      <w:r>
        <w:rPr>
          <w:rFonts w:hint="eastAsia" w:ascii="Times New Roman" w:hAnsi="Times New Roman" w:eastAsia="仿宋_GB2312" w:cs="Times New Roman"/>
          <w:sz w:val="32"/>
          <w:szCs w:val="32"/>
          <w:lang w:bidi="ar"/>
        </w:rPr>
        <w:t>：是指为满足运营生产和管理需求而配套使用的软件及基于软件的技术服务。</w:t>
      </w:r>
    </w:p>
    <w:p>
      <w:pPr>
        <w:spacing w:line="560" w:lineRule="exact"/>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4.3.6【物资名称】与资产分类中的小类对应的资产/设备名称或四级分类对应的名称保持一致。原则上不得出现相同物资，不同叫法的情况。不应包含物资参数、线路、使用地点等信息。</w:t>
      </w:r>
    </w:p>
    <w:p>
      <w:pPr>
        <w:spacing w:line="560" w:lineRule="exact"/>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4.3.7【品牌】分为通用类、定制类、选型类、单一品牌类。其中单一品牌类的物资品牌是指用以区分不同企业产品的标识，多指已经被注册的商标。</w:t>
      </w:r>
    </w:p>
    <w:p>
      <w:pPr>
        <w:spacing w:line="560" w:lineRule="exact"/>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品牌填写“通用类、选型类、定制类”时，型号不能有品牌/厂商指向性，如填写的型号仅西门子生产，则填写品牌必须为西门子。</w:t>
      </w:r>
    </w:p>
    <w:p>
      <w:pPr>
        <w:spacing w:line="560" w:lineRule="exact"/>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4.3.8【厂商】，厂商指生产产品的企业。不能错位填写，填写格式与系统已有编码的厂商保持一致。厂商需要使用全称，厂商名称需要经过调研，必须为生产厂商，不能是代理商或集成商。</w:t>
      </w:r>
    </w:p>
    <w:p>
      <w:pPr>
        <w:spacing w:line="560" w:lineRule="exact"/>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如申请的物资存在二次加工情况，且对二次加工的品牌</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厂家具有指定</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单一性，品牌厂商位置需要填写实物生产的品牌</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厂家（与实物包装、合格证、使用说明书的品牌/厂家保持一致），不能填写集成商的品牌</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厂家名称，并同时在技术参数内备注该物资由XX公司二次加工，且注明加工内容（如提供xx软件等）。品牌/厂商需要充分调研其单一性，避免填写错误。</w:t>
      </w:r>
    </w:p>
    <w:p>
      <w:pPr>
        <w:spacing w:line="560" w:lineRule="exact"/>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4.3.9物资【型号】是物资性能、参数的“代码”，一般由一系列数字或字母组合而成，多源于国家、地方、行业标准规定，或厂商技术文件内的自行编号；“选型类”、“通用类”、“定制类”物资除国家标准、行业标准型号代码外，一般不需填写型号。物资型号与技术参数字段不能错行填写。型号填写前尽量通过生产厂家渠道调研，不能是停产型号或升级前型号。</w:t>
      </w:r>
    </w:p>
    <w:p>
      <w:pPr>
        <w:spacing w:line="560" w:lineRule="exact"/>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4.3.10【技术参数】是描述物资性能、规格、参数的信息，必须包含具体使用要求的重要信息，如材质、尺寸等，参数之间隔开时，需要使用中文逗号隔开。编码申请时需自查参数问题，详见附件2（参数的自查问题作为附件）；参数之间输入参数连接符乘号，统一使用“*”，不应使用“×”；技术参数中一般不包含使用线路、使用地点等信息。并且要与编码库内同种物资的技术参数格式保持一致。如技术参数内注明相关标准的物资，应尽量明确标准名称、编号、具体要求对应的条款号。标准必须为当下正在执行的标准。</w:t>
      </w:r>
    </w:p>
    <w:p>
      <w:pPr>
        <w:spacing w:line="560" w:lineRule="exact"/>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4.3.11填写【默认单位】时，实物如为成套、成对或成组的物资，需要按照实际情况填写单位，并且对“套”、“卷”、“组”等需解释的单位，“技术参数”中应有解释说明。例如单位为套的物资，需要进行解释“含</w:t>
      </w:r>
      <w:r>
        <w:rPr>
          <w:rFonts w:ascii="Times New Roman" w:hAnsi="Times New Roman" w:eastAsia="仿宋_GB2312" w:cs="Times New Roman"/>
          <w:sz w:val="32"/>
          <w:szCs w:val="32"/>
        </w:rPr>
        <w:t>XXX</w:t>
      </w:r>
      <w:r>
        <w:rPr>
          <w:rFonts w:hint="eastAsia" w:ascii="Times New Roman" w:hAnsi="Times New Roman" w:eastAsia="仿宋_GB2312" w:cs="Times New Roman"/>
          <w:sz w:val="32"/>
          <w:szCs w:val="32"/>
        </w:rPr>
        <w:t>配件</w:t>
      </w:r>
      <w:r>
        <w:rPr>
          <w:rFonts w:ascii="Times New Roman" w:hAnsi="Times New Roman" w:eastAsia="仿宋_GB2312" w:cs="Times New Roman"/>
          <w:sz w:val="32"/>
          <w:szCs w:val="32"/>
        </w:rPr>
        <w:t>x</w:t>
      </w:r>
      <w:r>
        <w:rPr>
          <w:rFonts w:hint="eastAsia" w:ascii="Times New Roman" w:hAnsi="Times New Roman" w:eastAsia="仿宋_GB2312" w:cs="Times New Roman"/>
          <w:sz w:val="32"/>
          <w:szCs w:val="32"/>
        </w:rPr>
        <w:t>个”；单位为根的物资，需要进行解释“每根长</w:t>
      </w:r>
      <w:r>
        <w:rPr>
          <w:rFonts w:ascii="Times New Roman" w:hAnsi="Times New Roman" w:eastAsia="仿宋_GB2312" w:cs="Times New Roman"/>
          <w:sz w:val="32"/>
          <w:szCs w:val="32"/>
        </w:rPr>
        <w:t>XXX</w:t>
      </w:r>
      <w:r>
        <w:rPr>
          <w:rFonts w:hint="eastAsia" w:ascii="Times New Roman" w:hAnsi="Times New Roman" w:eastAsia="仿宋_GB2312" w:cs="Times New Roman"/>
          <w:sz w:val="32"/>
          <w:szCs w:val="32"/>
        </w:rPr>
        <w:t>”（指定品牌</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厂家的物资，如某型号代表物资长度固定，则可不填写长度参数）。除建设移交物资外，其他物资申请编码时，计量单位必须为市场常用供货单位，且必须便于需求计划提报及领料。单位信息需仔细审核，后期无法修改。常用单位见下表：</w:t>
      </w:r>
    </w:p>
    <w:tbl>
      <w:tblPr>
        <w:tblStyle w:val="10"/>
        <w:tblW w:w="8968" w:type="dxa"/>
        <w:tblInd w:w="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6"/>
        <w:gridCol w:w="2970"/>
        <w:gridCol w:w="48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156" w:type="dxa"/>
            <w:shd w:val="clear" w:color="auto" w:fill="auto"/>
            <w:noWrap/>
            <w:vAlign w:val="center"/>
          </w:tcPr>
          <w:p>
            <w:pPr>
              <w:widowControl/>
              <w:jc w:val="center"/>
              <w:textAlignment w:val="center"/>
              <w:rPr>
                <w:rFonts w:ascii="宋体" w:hAnsi="宋体" w:eastAsia="宋体" w:cs="宋体"/>
                <w:b/>
                <w:bCs/>
                <w:szCs w:val="21"/>
              </w:rPr>
            </w:pPr>
            <w:r>
              <w:rPr>
                <w:rFonts w:hint="eastAsia" w:ascii="宋体" w:hAnsi="宋体" w:eastAsia="宋体" w:cs="宋体"/>
                <w:b/>
                <w:bCs/>
                <w:kern w:val="0"/>
                <w:szCs w:val="21"/>
                <w:lang w:bidi="ar"/>
              </w:rPr>
              <w:t>类别</w:t>
            </w:r>
          </w:p>
        </w:tc>
        <w:tc>
          <w:tcPr>
            <w:tcW w:w="2970" w:type="dxa"/>
            <w:shd w:val="clear" w:color="auto" w:fill="auto"/>
            <w:noWrap/>
            <w:vAlign w:val="center"/>
          </w:tcPr>
          <w:p>
            <w:pPr>
              <w:widowControl/>
              <w:jc w:val="center"/>
              <w:textAlignment w:val="center"/>
              <w:rPr>
                <w:rFonts w:ascii="宋体" w:hAnsi="宋体" w:eastAsia="宋体" w:cs="宋体"/>
                <w:b/>
                <w:bCs/>
                <w:szCs w:val="21"/>
              </w:rPr>
            </w:pPr>
            <w:r>
              <w:rPr>
                <w:rFonts w:hint="eastAsia" w:ascii="宋体" w:hAnsi="宋体" w:eastAsia="宋体" w:cs="宋体"/>
                <w:b/>
                <w:bCs/>
                <w:kern w:val="0"/>
                <w:szCs w:val="21"/>
                <w:lang w:bidi="ar"/>
              </w:rPr>
              <w:t>单位</w:t>
            </w:r>
          </w:p>
        </w:tc>
        <w:tc>
          <w:tcPr>
            <w:tcW w:w="4842" w:type="dxa"/>
            <w:shd w:val="clear" w:color="auto" w:fill="auto"/>
            <w:noWrap/>
            <w:vAlign w:val="center"/>
          </w:tcPr>
          <w:p>
            <w:pPr>
              <w:widowControl/>
              <w:jc w:val="center"/>
              <w:textAlignment w:val="center"/>
              <w:rPr>
                <w:rFonts w:ascii="宋体" w:hAnsi="宋体" w:eastAsia="宋体" w:cs="宋体"/>
                <w:b/>
                <w:bCs/>
                <w:szCs w:val="21"/>
              </w:rPr>
            </w:pPr>
            <w:r>
              <w:rPr>
                <w:rFonts w:hint="eastAsia" w:ascii="宋体" w:hAnsi="宋体" w:eastAsia="宋体" w:cs="宋体"/>
                <w:b/>
                <w:bCs/>
                <w:kern w:val="0"/>
                <w:szCs w:val="21"/>
                <w:lang w:bidi="ar"/>
              </w:rPr>
              <w:t>适用物资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156" w:type="dxa"/>
            <w:shd w:val="clear" w:color="auto" w:fill="auto"/>
            <w:noWrap/>
            <w:vAlign w:val="center"/>
          </w:tcPr>
          <w:p>
            <w:pPr>
              <w:widowControl/>
              <w:jc w:val="center"/>
              <w:textAlignment w:val="center"/>
              <w:rPr>
                <w:rFonts w:ascii="宋体" w:hAnsi="宋体" w:eastAsia="宋体" w:cs="宋体"/>
                <w:szCs w:val="21"/>
              </w:rPr>
            </w:pPr>
            <w:r>
              <w:rPr>
                <w:rFonts w:hint="eastAsia" w:ascii="宋体" w:hAnsi="宋体" w:eastAsia="宋体" w:cs="宋体"/>
                <w:kern w:val="0"/>
                <w:szCs w:val="21"/>
                <w:lang w:bidi="ar"/>
              </w:rPr>
              <w:t>面积单位</w:t>
            </w:r>
          </w:p>
        </w:tc>
        <w:tc>
          <w:tcPr>
            <w:tcW w:w="2970" w:type="dxa"/>
            <w:shd w:val="clear" w:color="auto" w:fill="auto"/>
            <w:noWrap/>
            <w:vAlign w:val="center"/>
          </w:tcPr>
          <w:p>
            <w:pPr>
              <w:widowControl/>
              <w:jc w:val="left"/>
              <w:textAlignment w:val="center"/>
              <w:rPr>
                <w:rFonts w:ascii="宋体" w:hAnsi="宋体" w:eastAsia="宋体" w:cs="宋体"/>
                <w:szCs w:val="21"/>
              </w:rPr>
            </w:pPr>
            <w:r>
              <w:rPr>
                <w:rFonts w:hint="eastAsia" w:ascii="宋体" w:hAnsi="宋体" w:eastAsia="宋体" w:cs="宋体"/>
                <w:kern w:val="0"/>
                <w:szCs w:val="21"/>
                <w:lang w:bidi="ar"/>
              </w:rPr>
              <w:t>平方米</w:t>
            </w:r>
            <w:r>
              <w:rPr>
                <w:rFonts w:ascii="宋体" w:hAnsi="宋体" w:eastAsia="宋体" w:cs="宋体"/>
                <w:kern w:val="0"/>
                <w:szCs w:val="21"/>
                <w:lang w:bidi="ar"/>
              </w:rPr>
              <w:t xml:space="preserve"> (m²)</w:t>
            </w:r>
          </w:p>
        </w:tc>
        <w:tc>
          <w:tcPr>
            <w:tcW w:w="4842" w:type="dxa"/>
            <w:shd w:val="clear" w:color="auto" w:fill="auto"/>
            <w:noWrap/>
            <w:vAlign w:val="center"/>
          </w:tcPr>
          <w:p>
            <w:pPr>
              <w:widowControl/>
              <w:jc w:val="left"/>
              <w:textAlignment w:val="center"/>
              <w:rPr>
                <w:rFonts w:ascii="宋体" w:hAnsi="宋体" w:eastAsia="宋体" w:cs="宋体"/>
                <w:szCs w:val="21"/>
              </w:rPr>
            </w:pPr>
            <w:r>
              <w:rPr>
                <w:rFonts w:hint="eastAsia" w:ascii="宋体" w:hAnsi="宋体" w:eastAsia="宋体" w:cs="宋体"/>
                <w:kern w:val="0"/>
                <w:szCs w:val="21"/>
                <w:lang w:bidi="ar"/>
              </w:rPr>
              <w:t>多用于房建消耗料，含有一定的定制或现场施工服务。例如地板、玻璃、亚克力板、贴膜等。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156" w:type="dxa"/>
            <w:shd w:val="clear" w:color="auto" w:fill="auto"/>
            <w:noWrap/>
            <w:vAlign w:val="center"/>
          </w:tcPr>
          <w:p>
            <w:pPr>
              <w:widowControl/>
              <w:jc w:val="center"/>
              <w:textAlignment w:val="center"/>
              <w:rPr>
                <w:rFonts w:ascii="宋体" w:hAnsi="宋体" w:eastAsia="宋体" w:cs="宋体"/>
                <w:szCs w:val="21"/>
              </w:rPr>
            </w:pPr>
            <w:r>
              <w:rPr>
                <w:rFonts w:hint="eastAsia" w:ascii="宋体" w:hAnsi="宋体" w:eastAsia="宋体" w:cs="宋体"/>
                <w:kern w:val="0"/>
                <w:szCs w:val="21"/>
                <w:lang w:bidi="ar"/>
              </w:rPr>
              <w:t>容积单位</w:t>
            </w:r>
          </w:p>
        </w:tc>
        <w:tc>
          <w:tcPr>
            <w:tcW w:w="2970" w:type="dxa"/>
            <w:shd w:val="clear" w:color="auto" w:fill="auto"/>
            <w:noWrap/>
            <w:vAlign w:val="center"/>
          </w:tcPr>
          <w:p>
            <w:pPr>
              <w:widowControl/>
              <w:jc w:val="left"/>
              <w:textAlignment w:val="center"/>
              <w:rPr>
                <w:rFonts w:ascii="宋体" w:hAnsi="宋体" w:eastAsia="宋体" w:cs="宋体"/>
                <w:szCs w:val="21"/>
              </w:rPr>
            </w:pPr>
            <w:r>
              <w:rPr>
                <w:rFonts w:hint="eastAsia" w:ascii="宋体" w:hAnsi="宋体" w:eastAsia="宋体" w:cs="宋体"/>
                <w:kern w:val="0"/>
                <w:szCs w:val="21"/>
                <w:lang w:bidi="ar"/>
              </w:rPr>
              <w:t>升</w:t>
            </w:r>
            <w:r>
              <w:rPr>
                <w:rFonts w:ascii="宋体" w:hAnsi="宋体" w:eastAsia="宋体" w:cs="宋体"/>
                <w:kern w:val="0"/>
                <w:szCs w:val="21"/>
                <w:lang w:bidi="ar"/>
              </w:rPr>
              <w:t xml:space="preserve"> (l)</w:t>
            </w:r>
          </w:p>
        </w:tc>
        <w:tc>
          <w:tcPr>
            <w:tcW w:w="4842" w:type="dxa"/>
            <w:shd w:val="clear" w:color="auto" w:fill="auto"/>
            <w:noWrap/>
            <w:vAlign w:val="center"/>
          </w:tcPr>
          <w:p>
            <w:pPr>
              <w:widowControl/>
              <w:jc w:val="left"/>
              <w:textAlignment w:val="center"/>
              <w:rPr>
                <w:rFonts w:ascii="宋体" w:hAnsi="宋体" w:eastAsia="宋体" w:cs="宋体"/>
                <w:szCs w:val="21"/>
              </w:rPr>
            </w:pPr>
            <w:r>
              <w:rPr>
                <w:rFonts w:hint="eastAsia" w:ascii="宋体" w:hAnsi="宋体" w:eastAsia="宋体" w:cs="宋体"/>
                <w:kern w:val="0"/>
                <w:szCs w:val="21"/>
                <w:lang w:bidi="ar"/>
              </w:rPr>
              <w:t>多用于流体货物。例如蒸馏水、柴油、汽油等。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40" w:hRule="atLeast"/>
        </w:trPr>
        <w:tc>
          <w:tcPr>
            <w:tcW w:w="1156" w:type="dxa"/>
            <w:shd w:val="clear" w:color="auto" w:fill="auto"/>
            <w:noWrap/>
            <w:vAlign w:val="center"/>
          </w:tcPr>
          <w:p>
            <w:pPr>
              <w:widowControl/>
              <w:jc w:val="center"/>
              <w:textAlignment w:val="center"/>
              <w:rPr>
                <w:rFonts w:ascii="宋体" w:hAnsi="宋体" w:eastAsia="宋体" w:cs="宋体"/>
                <w:szCs w:val="21"/>
              </w:rPr>
            </w:pPr>
            <w:r>
              <w:rPr>
                <w:rFonts w:hint="eastAsia" w:ascii="宋体" w:hAnsi="宋体" w:eastAsia="宋体" w:cs="宋体"/>
                <w:kern w:val="0"/>
                <w:szCs w:val="21"/>
                <w:lang w:bidi="ar"/>
              </w:rPr>
              <w:t>数量单位</w:t>
            </w:r>
          </w:p>
        </w:tc>
        <w:tc>
          <w:tcPr>
            <w:tcW w:w="2970" w:type="dxa"/>
            <w:shd w:val="clear" w:color="auto" w:fill="auto"/>
            <w:vAlign w:val="center"/>
          </w:tcPr>
          <w:p>
            <w:pPr>
              <w:widowControl/>
              <w:jc w:val="left"/>
              <w:textAlignment w:val="center"/>
              <w:rPr>
                <w:rFonts w:ascii="宋体" w:hAnsi="宋体" w:eastAsia="宋体" w:cs="宋体"/>
                <w:szCs w:val="21"/>
              </w:rPr>
            </w:pPr>
            <w:r>
              <w:rPr>
                <w:rFonts w:hint="eastAsia" w:ascii="宋体" w:hAnsi="宋体" w:eastAsia="宋体" w:cs="宋体"/>
                <w:kern w:val="0"/>
                <w:szCs w:val="21"/>
                <w:lang w:bidi="ar"/>
              </w:rPr>
              <w:t>把，包，本，袋，对，个</w:t>
            </w:r>
            <w:r>
              <w:rPr>
                <w:rFonts w:ascii="宋体" w:hAnsi="宋体" w:eastAsia="宋体" w:cs="宋体"/>
                <w:kern w:val="0"/>
                <w:szCs w:val="21"/>
                <w:lang w:bidi="ar"/>
              </w:rPr>
              <w:t>/只/台，根，罐，盒，件，卷，颗，块，捆，辆，盘，片，瓶，扇，双，套，箱，张，支，组，桶，箱</w:t>
            </w:r>
          </w:p>
        </w:tc>
        <w:tc>
          <w:tcPr>
            <w:tcW w:w="4842" w:type="dxa"/>
            <w:shd w:val="clear" w:color="auto" w:fill="auto"/>
            <w:noWrap/>
            <w:vAlign w:val="center"/>
          </w:tcPr>
          <w:p>
            <w:pPr>
              <w:widowControl/>
              <w:jc w:val="left"/>
              <w:textAlignment w:val="center"/>
              <w:rPr>
                <w:rFonts w:ascii="宋体" w:hAnsi="宋体" w:eastAsia="宋体" w:cs="宋体"/>
                <w:szCs w:val="21"/>
              </w:rPr>
            </w:pPr>
            <w:r>
              <w:rPr>
                <w:rFonts w:hint="eastAsia" w:ascii="宋体" w:hAnsi="宋体" w:eastAsia="宋体" w:cs="宋体"/>
                <w:kern w:val="0"/>
                <w:szCs w:val="21"/>
                <w:lang w:bidi="ar"/>
              </w:rPr>
              <w:t>多用于日用消费品、轻工业品、机械产品等，均习惯于按数量进行买卖。例如：扳手、打印纸、书籍、电涌保护器、数据线、自动喷漆、胶带、螺栓等。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156" w:type="dxa"/>
            <w:shd w:val="clear" w:color="auto" w:fill="auto"/>
            <w:noWrap/>
            <w:vAlign w:val="center"/>
          </w:tcPr>
          <w:p>
            <w:pPr>
              <w:widowControl/>
              <w:jc w:val="center"/>
              <w:textAlignment w:val="center"/>
              <w:rPr>
                <w:rFonts w:ascii="宋体" w:hAnsi="宋体" w:eastAsia="宋体" w:cs="宋体"/>
                <w:szCs w:val="21"/>
              </w:rPr>
            </w:pPr>
            <w:r>
              <w:rPr>
                <w:rFonts w:hint="eastAsia" w:ascii="宋体" w:hAnsi="宋体" w:eastAsia="宋体" w:cs="宋体"/>
                <w:kern w:val="0"/>
                <w:szCs w:val="21"/>
                <w:lang w:bidi="ar"/>
              </w:rPr>
              <w:t>体积单位</w:t>
            </w:r>
          </w:p>
        </w:tc>
        <w:tc>
          <w:tcPr>
            <w:tcW w:w="2970" w:type="dxa"/>
            <w:shd w:val="clear" w:color="auto" w:fill="auto"/>
            <w:noWrap/>
            <w:vAlign w:val="center"/>
          </w:tcPr>
          <w:p>
            <w:pPr>
              <w:widowControl/>
              <w:jc w:val="left"/>
              <w:textAlignment w:val="center"/>
              <w:rPr>
                <w:rFonts w:ascii="宋体" w:hAnsi="宋体" w:eastAsia="宋体" w:cs="宋体"/>
                <w:szCs w:val="21"/>
              </w:rPr>
            </w:pPr>
            <w:r>
              <w:rPr>
                <w:rFonts w:hint="eastAsia" w:ascii="宋体" w:hAnsi="宋体" w:eastAsia="宋体" w:cs="宋体"/>
                <w:kern w:val="0"/>
                <w:szCs w:val="21"/>
                <w:lang w:bidi="ar"/>
              </w:rPr>
              <w:t>立方米</w:t>
            </w:r>
            <w:r>
              <w:rPr>
                <w:rFonts w:ascii="宋体" w:hAnsi="宋体" w:eastAsia="宋体" w:cs="宋体"/>
                <w:kern w:val="0"/>
                <w:szCs w:val="21"/>
                <w:lang w:bidi="ar"/>
              </w:rPr>
              <w:t xml:space="preserve"> (m³)</w:t>
            </w:r>
          </w:p>
        </w:tc>
        <w:tc>
          <w:tcPr>
            <w:tcW w:w="4842" w:type="dxa"/>
            <w:shd w:val="clear" w:color="auto" w:fill="auto"/>
            <w:noWrap/>
            <w:vAlign w:val="center"/>
          </w:tcPr>
          <w:p>
            <w:pPr>
              <w:widowControl/>
              <w:jc w:val="left"/>
              <w:textAlignment w:val="center"/>
              <w:rPr>
                <w:rFonts w:ascii="宋体" w:hAnsi="宋体" w:eastAsia="宋体" w:cs="宋体"/>
                <w:szCs w:val="21"/>
              </w:rPr>
            </w:pPr>
            <w:r>
              <w:rPr>
                <w:rFonts w:hint="eastAsia" w:ascii="宋体" w:hAnsi="宋体" w:eastAsia="宋体" w:cs="宋体"/>
                <w:kern w:val="0"/>
                <w:szCs w:val="21"/>
                <w:lang w:bidi="ar"/>
              </w:rPr>
              <w:t>多用于石材、木材或气体等，比如道砟、活性炭、混凝土等。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156" w:type="dxa"/>
            <w:shd w:val="clear" w:color="auto" w:fill="auto"/>
            <w:noWrap/>
            <w:vAlign w:val="center"/>
          </w:tcPr>
          <w:p>
            <w:pPr>
              <w:widowControl/>
              <w:jc w:val="center"/>
              <w:textAlignment w:val="center"/>
              <w:rPr>
                <w:rFonts w:ascii="宋体" w:hAnsi="宋体" w:eastAsia="宋体" w:cs="宋体"/>
                <w:szCs w:val="21"/>
              </w:rPr>
            </w:pPr>
            <w:r>
              <w:rPr>
                <w:rFonts w:hint="eastAsia" w:ascii="宋体" w:hAnsi="宋体" w:eastAsia="宋体" w:cs="宋体"/>
                <w:kern w:val="0"/>
                <w:szCs w:val="21"/>
                <w:lang w:bidi="ar"/>
              </w:rPr>
              <w:t>长度单位</w:t>
            </w:r>
          </w:p>
        </w:tc>
        <w:tc>
          <w:tcPr>
            <w:tcW w:w="2970" w:type="dxa"/>
            <w:shd w:val="clear" w:color="auto" w:fill="auto"/>
            <w:noWrap/>
            <w:vAlign w:val="center"/>
          </w:tcPr>
          <w:p>
            <w:pPr>
              <w:widowControl/>
              <w:jc w:val="left"/>
              <w:textAlignment w:val="center"/>
              <w:rPr>
                <w:rFonts w:ascii="宋体" w:hAnsi="宋体" w:eastAsia="宋体" w:cs="宋体"/>
                <w:szCs w:val="21"/>
              </w:rPr>
            </w:pPr>
            <w:r>
              <w:rPr>
                <w:rFonts w:hint="eastAsia" w:ascii="宋体" w:hAnsi="宋体" w:eastAsia="宋体" w:cs="宋体"/>
                <w:kern w:val="0"/>
                <w:szCs w:val="21"/>
                <w:lang w:bidi="ar"/>
              </w:rPr>
              <w:t>米</w:t>
            </w:r>
            <w:r>
              <w:rPr>
                <w:rFonts w:ascii="宋体" w:hAnsi="宋体" w:eastAsia="宋体" w:cs="宋体"/>
                <w:kern w:val="0"/>
                <w:szCs w:val="21"/>
                <w:lang w:bidi="ar"/>
              </w:rPr>
              <w:t>(m)</w:t>
            </w:r>
          </w:p>
        </w:tc>
        <w:tc>
          <w:tcPr>
            <w:tcW w:w="4842" w:type="dxa"/>
            <w:shd w:val="clear" w:color="auto" w:fill="auto"/>
            <w:noWrap/>
            <w:vAlign w:val="center"/>
          </w:tcPr>
          <w:p>
            <w:pPr>
              <w:widowControl/>
              <w:jc w:val="left"/>
              <w:textAlignment w:val="center"/>
              <w:rPr>
                <w:rFonts w:ascii="宋体" w:hAnsi="宋体" w:eastAsia="宋体" w:cs="宋体"/>
                <w:szCs w:val="21"/>
              </w:rPr>
            </w:pPr>
            <w:r>
              <w:rPr>
                <w:rFonts w:hint="eastAsia" w:ascii="宋体" w:hAnsi="宋体" w:eastAsia="宋体" w:cs="宋体"/>
                <w:kern w:val="0"/>
                <w:szCs w:val="21"/>
                <w:lang w:bidi="ar"/>
              </w:rPr>
              <w:t>多用于线材、布、丝、棉织品等，例如：电缆、棉布、水带等。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156" w:type="dxa"/>
            <w:shd w:val="clear" w:color="auto" w:fill="auto"/>
            <w:noWrap/>
            <w:vAlign w:val="center"/>
          </w:tcPr>
          <w:p>
            <w:pPr>
              <w:widowControl/>
              <w:jc w:val="center"/>
              <w:textAlignment w:val="center"/>
              <w:rPr>
                <w:rFonts w:ascii="宋体" w:hAnsi="宋体" w:eastAsia="宋体" w:cs="宋体"/>
                <w:szCs w:val="21"/>
              </w:rPr>
            </w:pPr>
            <w:r>
              <w:rPr>
                <w:rFonts w:hint="eastAsia" w:ascii="宋体" w:hAnsi="宋体" w:eastAsia="宋体" w:cs="宋体"/>
                <w:kern w:val="0"/>
                <w:szCs w:val="21"/>
                <w:lang w:bidi="ar"/>
              </w:rPr>
              <w:t>重量单位</w:t>
            </w:r>
          </w:p>
        </w:tc>
        <w:tc>
          <w:tcPr>
            <w:tcW w:w="2970" w:type="dxa"/>
            <w:shd w:val="clear" w:color="auto" w:fill="auto"/>
            <w:noWrap/>
            <w:vAlign w:val="center"/>
          </w:tcPr>
          <w:p>
            <w:pPr>
              <w:widowControl/>
              <w:jc w:val="left"/>
              <w:textAlignment w:val="center"/>
              <w:rPr>
                <w:rFonts w:ascii="宋体" w:hAnsi="宋体" w:eastAsia="宋体" w:cs="宋体"/>
                <w:szCs w:val="21"/>
              </w:rPr>
            </w:pPr>
            <w:r>
              <w:rPr>
                <w:rFonts w:hint="eastAsia" w:ascii="宋体" w:hAnsi="宋体" w:eastAsia="宋体" w:cs="宋体"/>
                <w:kern w:val="0"/>
                <w:szCs w:val="21"/>
                <w:lang w:bidi="ar"/>
              </w:rPr>
              <w:t>千克</w:t>
            </w:r>
            <w:r>
              <w:rPr>
                <w:rFonts w:ascii="宋体" w:hAnsi="宋体" w:eastAsia="宋体" w:cs="宋体"/>
                <w:kern w:val="0"/>
                <w:szCs w:val="21"/>
                <w:lang w:bidi="ar"/>
              </w:rPr>
              <w:t>(kg)</w:t>
            </w:r>
          </w:p>
        </w:tc>
        <w:tc>
          <w:tcPr>
            <w:tcW w:w="4842" w:type="dxa"/>
            <w:shd w:val="clear" w:color="auto" w:fill="auto"/>
            <w:noWrap/>
            <w:vAlign w:val="center"/>
          </w:tcPr>
          <w:p>
            <w:pPr>
              <w:widowControl/>
              <w:jc w:val="left"/>
              <w:textAlignment w:val="center"/>
              <w:rPr>
                <w:rFonts w:ascii="宋体" w:hAnsi="宋体" w:eastAsia="宋体" w:cs="宋体"/>
                <w:szCs w:val="21"/>
              </w:rPr>
            </w:pPr>
            <w:r>
              <w:rPr>
                <w:rFonts w:hint="eastAsia" w:ascii="宋体" w:hAnsi="宋体" w:eastAsia="宋体" w:cs="宋体"/>
                <w:kern w:val="0"/>
                <w:szCs w:val="21"/>
                <w:lang w:bidi="ar"/>
              </w:rPr>
              <w:t>多用于天然产品，或无法用数量计算的原材料、工业成品，如矿产品，油类产品、型材、建筑材料等。例如：铁丝、水泥、焊条、钢珠等。</w:t>
            </w:r>
          </w:p>
        </w:tc>
      </w:tr>
    </w:tbl>
    <w:p>
      <w:pPr>
        <w:spacing w:line="560" w:lineRule="exact"/>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4.3.</w:t>
      </w:r>
      <w:r>
        <w:rPr>
          <w:rFonts w:hint="eastAsia" w:ascii="Times New Roman" w:hAnsi="Times New Roman" w:eastAsia="仿宋_GB2312" w:cs="Times New Roman"/>
          <w:sz w:val="32"/>
          <w:szCs w:val="32"/>
        </w:rPr>
        <w:t>12【预算指导价】即物资的市场单价，是含税价。填写需要经过调研，贴合市场价格。</w:t>
      </w:r>
    </w:p>
    <w:p>
      <w:pPr>
        <w:spacing w:line="560" w:lineRule="exact"/>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a)</w:t>
      </w:r>
      <w:r>
        <w:rPr>
          <w:rFonts w:hint="eastAsia" w:ascii="Times New Roman" w:hAnsi="Times New Roman" w:eastAsia="仿宋_GB2312" w:cs="Times New Roman"/>
          <w:sz w:val="32"/>
          <w:szCs w:val="32"/>
        </w:rPr>
        <w:t>与建设合同（近五年的建设合同）相同的物资，以建设合同价格作为预算指导价；</w:t>
      </w:r>
    </w:p>
    <w:p>
      <w:pPr>
        <w:spacing w:line="560" w:lineRule="exact"/>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b)</w:t>
      </w:r>
      <w:r>
        <w:rPr>
          <w:rFonts w:hint="eastAsia" w:ascii="Times New Roman" w:hAnsi="Times New Roman" w:eastAsia="仿宋_GB2312" w:cs="Times New Roman"/>
          <w:sz w:val="32"/>
          <w:szCs w:val="32"/>
        </w:rPr>
        <w:t>备品备件可通过集成商</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生产厂家获得或其他途径调研市场价格，采用市场调研平均价作为预算指导价；</w:t>
      </w:r>
    </w:p>
    <w:p>
      <w:pPr>
        <w:spacing w:line="560" w:lineRule="exact"/>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c)</w:t>
      </w:r>
      <w:r>
        <w:rPr>
          <w:rFonts w:hint="eastAsia" w:ascii="Times New Roman" w:hAnsi="Times New Roman" w:eastAsia="仿宋_GB2312" w:cs="Times New Roman"/>
          <w:sz w:val="32"/>
          <w:szCs w:val="32"/>
        </w:rPr>
        <w:t>其他物资可参照京东、工品汇等电商平台价格，作为预算指导价。</w:t>
      </w:r>
    </w:p>
    <w:p>
      <w:pPr>
        <w:spacing w:line="560" w:lineRule="exact"/>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4.3.1</w:t>
      </w:r>
      <w:r>
        <w:rPr>
          <w:rFonts w:hint="eastAsia" w:ascii="Times New Roman" w:hAnsi="Times New Roman" w:eastAsia="仿宋_GB2312" w:cs="Times New Roman"/>
          <w:sz w:val="32"/>
          <w:szCs w:val="32"/>
        </w:rPr>
        <w:t>3【是否从原供应商采购】【原供应商信息】【制造商】【备注】为选填字段，不做强制要求。</w:t>
      </w:r>
    </w:p>
    <w:p>
      <w:pPr>
        <w:spacing w:line="560" w:lineRule="exact"/>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4.3.1</w:t>
      </w:r>
      <w:r>
        <w:rPr>
          <w:rFonts w:hint="eastAsia" w:ascii="Times New Roman" w:hAnsi="Times New Roman" w:eastAsia="仿宋_GB2312" w:cs="Times New Roman"/>
          <w:sz w:val="32"/>
          <w:szCs w:val="32"/>
        </w:rPr>
        <w:t>4【默认复制来源】【物资前缀】【物资说明】为系统自动带出，无需填写。</w:t>
      </w:r>
    </w:p>
    <w:p>
      <w:pPr>
        <w:spacing w:line="560" w:lineRule="exact"/>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4.3.1</w:t>
      </w:r>
      <w:r>
        <w:rPr>
          <w:rFonts w:hint="eastAsia" w:ascii="Times New Roman" w:hAnsi="Times New Roman" w:eastAsia="仿宋_GB2312" w:cs="Times New Roman"/>
          <w:sz w:val="32"/>
          <w:szCs w:val="32"/>
        </w:rPr>
        <w:t>5【是否固定资产】【是否价值判定】为勾选项。为系统自动带出，无需填写，无法修改。</w:t>
      </w:r>
    </w:p>
    <w:p>
      <w:pPr>
        <w:spacing w:line="560" w:lineRule="exact"/>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4.3.1</w:t>
      </w:r>
      <w:r>
        <w:rPr>
          <w:rFonts w:hint="eastAsia" w:ascii="Times New Roman" w:hAnsi="Times New Roman" w:eastAsia="仿宋_GB2312" w:cs="Times New Roman"/>
          <w:sz w:val="32"/>
          <w:szCs w:val="32"/>
        </w:rPr>
        <w:t>6【是否计量】为勾选项。按照是否需送检进行勾选。</w:t>
      </w:r>
    </w:p>
    <w:p>
      <w:pPr>
        <w:spacing w:line="560" w:lineRule="exact"/>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4.3.17应注意【物资名称】、【品牌】、【厂商】、【型号】、【技术参数】填写完毕后，后面的物资说明栏为根据前项填写信息自动生成，请勿手动修改，避免出现手动修改后与前项信息或格式不符，审批单审批通过后，生成编码时系统出错。</w:t>
      </w:r>
    </w:p>
    <w:p>
      <w:pPr>
        <w:spacing w:line="560" w:lineRule="exact"/>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4.3.1</w:t>
      </w:r>
      <w:r>
        <w:rPr>
          <w:rFonts w:hint="eastAsia" w:ascii="Times New Roman" w:hAnsi="Times New Roman" w:eastAsia="仿宋_GB2312" w:cs="Times New Roman"/>
          <w:sz w:val="32"/>
          <w:szCs w:val="32"/>
        </w:rPr>
        <w:t>8【是否库存】、【是否采购】、【是否资产组】为勾选项。是否库存和是否采购必须勾选，编码才能用于入出库管理和合同采购；是否资产组当资产标识不是库存物资时，必须勾选生成资产组编码。三个字段均为系统自动带出。</w:t>
      </w:r>
    </w:p>
    <w:p>
      <w:pPr>
        <w:spacing w:line="560" w:lineRule="exact"/>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4.4</w:t>
      </w:r>
      <w:r>
        <w:rPr>
          <w:rFonts w:hint="eastAsia" w:ascii="Times New Roman" w:hAnsi="Times New Roman" w:eastAsia="仿宋_GB2312" w:cs="Times New Roman"/>
          <w:sz w:val="32"/>
          <w:szCs w:val="32"/>
        </w:rPr>
        <w:t>基本信息填写</w:t>
      </w:r>
    </w:p>
    <w:p>
      <w:pPr>
        <w:pStyle w:val="4"/>
        <w:jc w:val="center"/>
      </w:pPr>
      <w:r>
        <w:drawing>
          <wp:inline distT="0" distB="0" distL="114300" distR="114300">
            <wp:extent cx="5140960" cy="2599690"/>
            <wp:effectExtent l="0" t="0" r="2540" b="0"/>
            <wp:docPr id="23" name="图片 23" descr="1698231271496_F4AD1434-13A4-4203-8C37-52031486EE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1698231271496_F4AD1434-13A4-4203-8C37-52031486EE02"/>
                    <pic:cNvPicPr>
                      <a:picLocks noChangeAspect="1"/>
                    </pic:cNvPicPr>
                  </pic:nvPicPr>
                  <pic:blipFill>
                    <a:blip r:embed="rId9"/>
                    <a:stretch>
                      <a:fillRect/>
                    </a:stretch>
                  </pic:blipFill>
                  <pic:spPr>
                    <a:xfrm>
                      <a:off x="0" y="0"/>
                      <a:ext cx="5142618" cy="2600594"/>
                    </a:xfrm>
                    <a:prstGeom prst="rect">
                      <a:avLst/>
                    </a:prstGeom>
                  </pic:spPr>
                </pic:pic>
              </a:graphicData>
            </a:graphic>
          </wp:inline>
        </w:drawing>
      </w:r>
    </w:p>
    <w:p>
      <w:pPr>
        <w:spacing w:line="560" w:lineRule="exact"/>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【序列号】根据行信息上“资产组”勾选情况自动带出，“资产组”勾选时，序列号为默认带出勾选状态，【序列号规则】自动生成【短编码</w:t>
      </w:r>
      <w:r>
        <w:rPr>
          <w:rFonts w:ascii="Times New Roman" w:hAnsi="Times New Roman" w:eastAsia="仿宋_GB2312" w:cs="Times New Roman"/>
          <w:sz w:val="32"/>
          <w:szCs w:val="32"/>
        </w:rPr>
        <w:t>-0000001</w:t>
      </w:r>
      <w:r>
        <w:rPr>
          <w:rFonts w:hint="eastAsia" w:ascii="Times New Roman" w:hAnsi="Times New Roman" w:eastAsia="仿宋_GB2312" w:cs="Times New Roman"/>
          <w:sz w:val="32"/>
          <w:szCs w:val="32"/>
        </w:rPr>
        <w:t>】。两个字段无法手动修改。</w:t>
      </w:r>
    </w:p>
    <w:p>
      <w:pPr>
        <w:spacing w:line="560" w:lineRule="exact"/>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【批次】为勾选项，指库存是否可以按照每一批到货的物资进行管理。该功能已在</w:t>
      </w:r>
      <w:r>
        <w:rPr>
          <w:rFonts w:ascii="Times New Roman" w:hAnsi="Times New Roman" w:eastAsia="仿宋_GB2312" w:cs="Times New Roman"/>
          <w:sz w:val="32"/>
          <w:szCs w:val="32"/>
        </w:rPr>
        <w:t>WMS</w:t>
      </w:r>
      <w:r>
        <w:rPr>
          <w:rFonts w:hint="eastAsia" w:ascii="Times New Roman" w:hAnsi="Times New Roman" w:eastAsia="仿宋_GB2312" w:cs="Times New Roman"/>
          <w:sz w:val="32"/>
          <w:szCs w:val="32"/>
        </w:rPr>
        <w:t>系统上线，该字段及【批次号规则】字段功能失效。</w:t>
      </w:r>
    </w:p>
    <w:p>
      <w:pPr>
        <w:spacing w:line="560" w:lineRule="exact"/>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4.5</w:t>
      </w:r>
      <w:r>
        <w:rPr>
          <w:rFonts w:hint="eastAsia" w:ascii="Times New Roman" w:hAnsi="Times New Roman" w:eastAsia="仿宋_GB2312" w:cs="Times New Roman"/>
          <w:sz w:val="32"/>
          <w:szCs w:val="32"/>
        </w:rPr>
        <w:t>组织分配填写</w:t>
      </w:r>
    </w:p>
    <w:p>
      <w:pPr>
        <w:jc w:val="center"/>
        <w:rPr>
          <w:rFonts w:ascii="Times New Roman" w:hAnsi="Times New Roman" w:eastAsia="仿宋_GB2312" w:cs="Times New Roman"/>
          <w:sz w:val="32"/>
          <w:szCs w:val="32"/>
        </w:rPr>
      </w:pPr>
      <w:r>
        <w:drawing>
          <wp:inline distT="0" distB="0" distL="114300" distR="114300">
            <wp:extent cx="4483735" cy="2273935"/>
            <wp:effectExtent l="0" t="0" r="0" b="0"/>
            <wp:docPr id="24" name="图片 24" descr="1698231283013_DEAA6391-4520-408a-92D0-1AA1E3FF2F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1698231283013_DEAA6391-4520-408a-92D0-1AA1E3FF2FC9"/>
                    <pic:cNvPicPr>
                      <a:picLocks noChangeAspect="1"/>
                    </pic:cNvPicPr>
                  </pic:nvPicPr>
                  <pic:blipFill>
                    <a:blip r:embed="rId10"/>
                    <a:stretch>
                      <a:fillRect/>
                    </a:stretch>
                  </pic:blipFill>
                  <pic:spPr>
                    <a:xfrm>
                      <a:off x="0" y="0"/>
                      <a:ext cx="4481794" cy="2272955"/>
                    </a:xfrm>
                    <a:prstGeom prst="rect">
                      <a:avLst/>
                    </a:prstGeom>
                  </pic:spPr>
                </pic:pic>
              </a:graphicData>
            </a:graphic>
          </wp:inline>
        </w:drawing>
      </w:r>
    </w:p>
    <w:p>
      <w:pPr>
        <w:spacing w:line="560" w:lineRule="exact"/>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组织分配指被分配的各线路库存组织。未被分配库存组织的线路将无法使用本编码。一般系统默认带出所有线路，可手动调整。【复制组织分配和类别】按钮，可直接复制该行选择的资产分类对应的编码模版的组织分配，可手动添加。</w:t>
      </w:r>
    </w:p>
    <w:p>
      <w:pPr>
        <w:spacing w:line="560" w:lineRule="exact"/>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4.6</w:t>
      </w:r>
      <w:r>
        <w:rPr>
          <w:rFonts w:hint="eastAsia" w:ascii="Times New Roman" w:hAnsi="Times New Roman" w:eastAsia="仿宋_GB2312" w:cs="Times New Roman"/>
          <w:sz w:val="32"/>
          <w:szCs w:val="32"/>
        </w:rPr>
        <w:t>编码申请单据提交审批</w:t>
      </w:r>
    </w:p>
    <w:p>
      <w:pPr>
        <w:ind w:firstLine="420"/>
        <w:jc w:val="center"/>
        <w:rPr>
          <w:rFonts w:ascii="Times New Roman" w:hAnsi="Times New Roman" w:eastAsia="仿宋_GB2312" w:cs="Times New Roman"/>
          <w:sz w:val="32"/>
          <w:szCs w:val="32"/>
        </w:rPr>
      </w:pPr>
      <w:r>
        <w:drawing>
          <wp:inline distT="0" distB="0" distL="114300" distR="114300">
            <wp:extent cx="5263515" cy="2552065"/>
            <wp:effectExtent l="0" t="0" r="0" b="635"/>
            <wp:docPr id="25" name="图片 25" descr="1698231290793_3B7CD885-348E-44c9-B7A8-86AC97D682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1698231290793_3B7CD885-348E-44c9-B7A8-86AC97D6822D"/>
                    <pic:cNvPicPr>
                      <a:picLocks noChangeAspect="1"/>
                    </pic:cNvPicPr>
                  </pic:nvPicPr>
                  <pic:blipFill>
                    <a:blip r:embed="rId11"/>
                    <a:stretch>
                      <a:fillRect/>
                    </a:stretch>
                  </pic:blipFill>
                  <pic:spPr>
                    <a:xfrm>
                      <a:off x="0" y="0"/>
                      <a:ext cx="5264151" cy="2552557"/>
                    </a:xfrm>
                    <a:prstGeom prst="rect">
                      <a:avLst/>
                    </a:prstGeom>
                  </pic:spPr>
                </pic:pic>
              </a:graphicData>
            </a:graphic>
          </wp:inline>
        </w:drawing>
      </w:r>
    </w:p>
    <w:p>
      <w:pPr>
        <w:spacing w:line="560" w:lineRule="exact"/>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行信息创建完成后，点击【提交复核】按钮，编码申请人员提交成功后单据状态变为复核中，在</w:t>
      </w:r>
      <w:r>
        <w:rPr>
          <w:rFonts w:ascii="Times New Roman" w:hAnsi="Times New Roman" w:eastAsia="仿宋_GB2312" w:cs="Times New Roman"/>
          <w:sz w:val="32"/>
          <w:szCs w:val="32"/>
        </w:rPr>
        <w:t>OA</w:t>
      </w:r>
      <w:r>
        <w:rPr>
          <w:rFonts w:hint="eastAsia" w:ascii="Times New Roman" w:hAnsi="Times New Roman" w:eastAsia="仿宋_GB2312" w:cs="Times New Roman"/>
          <w:sz w:val="32"/>
          <w:szCs w:val="32"/>
        </w:rPr>
        <w:t>进行相关审批。</w:t>
      </w:r>
    </w:p>
    <w:p>
      <w:pPr>
        <w:spacing w:line="560" w:lineRule="exact"/>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4.7</w:t>
      </w:r>
      <w:r>
        <w:rPr>
          <w:rFonts w:hint="eastAsia" w:ascii="Times New Roman" w:hAnsi="Times New Roman" w:eastAsia="仿宋_GB2312" w:cs="Times New Roman"/>
          <w:sz w:val="32"/>
          <w:szCs w:val="32"/>
        </w:rPr>
        <w:t>编码申请人员提交至</w:t>
      </w:r>
      <w:r>
        <w:rPr>
          <w:rFonts w:ascii="Times New Roman" w:hAnsi="Times New Roman" w:eastAsia="仿宋_GB2312" w:cs="Times New Roman"/>
          <w:sz w:val="32"/>
          <w:szCs w:val="32"/>
        </w:rPr>
        <w:t>OA</w:t>
      </w:r>
      <w:r>
        <w:rPr>
          <w:rFonts w:hint="eastAsia" w:ascii="Times New Roman" w:hAnsi="Times New Roman" w:eastAsia="仿宋_GB2312" w:cs="Times New Roman"/>
          <w:sz w:val="32"/>
          <w:szCs w:val="32"/>
        </w:rPr>
        <w:t>后，</w:t>
      </w:r>
      <w:r>
        <w:rPr>
          <w:rFonts w:hint="eastAsia" w:ascii="Times New Roman" w:hAnsi="Times New Roman" w:eastAsia="仿宋_GB2312" w:cs="Times New Roman"/>
          <w:sz w:val="32"/>
          <w:szCs w:val="32"/>
          <w:lang w:val="en-US" w:eastAsia="zh-CN"/>
        </w:rPr>
        <w:t>原则上</w:t>
      </w:r>
      <w:r>
        <w:rPr>
          <w:rFonts w:hint="eastAsia" w:ascii="Times New Roman" w:hAnsi="Times New Roman" w:eastAsia="仿宋_GB2312" w:cs="Times New Roman"/>
          <w:sz w:val="32"/>
          <w:szCs w:val="32"/>
        </w:rPr>
        <w:t>所有编码申请都需要上传实物图片（每项物资至少3张，若有品牌型号限定，其中一张需包含清晰的商标或铭牌）和编码申请/修订自查问题表（详见附件</w:t>
      </w:r>
      <w:r>
        <w:rPr>
          <w:rFonts w:ascii="Times New Roman" w:hAnsi="Times New Roman" w:eastAsia="仿宋_GB2312" w:cs="Times New Roman"/>
          <w:sz w:val="32"/>
          <w:szCs w:val="32"/>
        </w:rPr>
        <w:t>2</w:t>
      </w:r>
      <w:r>
        <w:rPr>
          <w:rFonts w:hint="eastAsia" w:ascii="Times New Roman" w:hAnsi="Times New Roman" w:eastAsia="仿宋_GB2312" w:cs="Times New Roman"/>
          <w:sz w:val="32"/>
          <w:szCs w:val="32"/>
        </w:rPr>
        <w:t>），图片以“申请行号”命名，打包压缩后上传。另外根据品牌不同，提供对应的支撑性材料作为附件上传。</w:t>
      </w:r>
    </w:p>
    <w:p>
      <w:pPr>
        <w:spacing w:line="560" w:lineRule="exact"/>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4.7.1指定品牌</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厂商类物资，需经过单一品牌审核，建设移交物资品牌管理按照以下原则：</w:t>
      </w:r>
    </w:p>
    <w:p>
      <w:pPr>
        <w:spacing w:line="560" w:lineRule="exact"/>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4.7.1.1根据生产要求确定指定品牌/厂商的（单一来源），需首先提交技术管理部审核认定，并在OA编码申请单关联审批单据（未通过认定、未提报的定期进行清理停用）。</w:t>
      </w:r>
    </w:p>
    <w:p>
      <w:pPr>
        <w:spacing w:line="560" w:lineRule="exact"/>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4.7.1.2根据生产要求不指定品牌/厂商的（含建设移交物资），应申请通用类编码（不含品牌），无需提供单一品牌/厂商说明，物资说明内不允许存在限定品牌厂商的型号；建设移交物资申请通用类编码的，应在四方实物验收时，参照编码库同类、有效的通用编码规格参数内容现场收集、记录关键信息，以便申请通用编码时规范填写、顺利通过编码审批、避免驳回核实实物再修订。</w:t>
      </w:r>
    </w:p>
    <w:p>
      <w:pPr>
        <w:spacing w:line="560" w:lineRule="exact"/>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4.7.1.3建设移交不指定品牌/厂商的物资，确实无法提炼通用规格参数的，可参照移交清单描述、实物品牌型号申请编码，需要在技术参数内注明“建设移交物资，不用于提报需求采购”，完成移交入库后进行停用；后续产生相同采购需求时，需求中心应重新申请通用类编码，并说明对应可替代的建设移交编码，否则，年度需求平库时无法自动核减对应可替代的建设移交编码库存，产生的重复采购由相应需求中心负责。备件移交资产分类，与公司资产管理要求的资产分类不同导致的重新申请编码（一物多码），在按公司资产管理要求重新申请编码时，也应说明对应可替代的建设移交编码，否则，年度需求平库时无法自动核减对应可替代的建设移交编码库存，产生的重复采购由相应需求中心负责。</w:t>
      </w:r>
    </w:p>
    <w:p>
      <w:pPr>
        <w:spacing w:line="560" w:lineRule="exact"/>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4.7.2定制类需要上传图片、图纸或详细用户需求书。</w:t>
      </w:r>
    </w:p>
    <w:p>
      <w:pPr>
        <w:spacing w:line="560" w:lineRule="exact"/>
        <w:ind w:firstLine="640" w:firstLineChars="200"/>
      </w:pPr>
      <w:r>
        <w:rPr>
          <w:rFonts w:hint="eastAsia" w:ascii="Times New Roman" w:hAnsi="Times New Roman" w:eastAsia="仿宋_GB2312" w:cs="Times New Roman"/>
          <w:sz w:val="32"/>
          <w:szCs w:val="32"/>
        </w:rPr>
        <w:t>4.7.3选型类需要通过选型物资审核，并在OA编码申请单关联审批单据。</w:t>
      </w:r>
    </w:p>
    <w:p>
      <w:pPr>
        <w:spacing w:line="560" w:lineRule="exact"/>
        <w:ind w:firstLine="640" w:firstLineChars="200"/>
        <w:outlineLvl w:val="2"/>
        <w:rPr>
          <w:rFonts w:ascii="Times New Roman" w:hAnsi="Times New Roman" w:eastAsia="仿宋_GB2312" w:cs="Times New Roman"/>
          <w:sz w:val="32"/>
          <w:szCs w:val="32"/>
        </w:rPr>
      </w:pPr>
      <w:r>
        <w:rPr>
          <w:rFonts w:ascii="Times New Roman" w:hAnsi="Times New Roman" w:eastAsia="仿宋_GB2312" w:cs="Times New Roman"/>
          <w:sz w:val="32"/>
          <w:szCs w:val="32"/>
        </w:rPr>
        <w:t>5.</w:t>
      </w:r>
      <w:r>
        <w:rPr>
          <w:rFonts w:hint="eastAsia" w:ascii="Times New Roman" w:hAnsi="Times New Roman" w:eastAsia="仿宋_GB2312" w:cs="Times New Roman"/>
          <w:sz w:val="32"/>
          <w:szCs w:val="32"/>
        </w:rPr>
        <w:t>编码申请单审批</w:t>
      </w:r>
    </w:p>
    <w:p>
      <w:pPr>
        <w:spacing w:line="560" w:lineRule="exact"/>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5.1</w:t>
      </w:r>
      <w:r>
        <w:rPr>
          <w:rFonts w:hint="eastAsia" w:ascii="Times New Roman" w:hAnsi="Times New Roman" w:eastAsia="仿宋_GB2312" w:cs="Times New Roman"/>
          <w:sz w:val="32"/>
          <w:szCs w:val="32"/>
        </w:rPr>
        <w:t>编码申请经办人</w:t>
      </w:r>
      <w:r>
        <w:rPr>
          <w:rFonts w:ascii="Times New Roman" w:hAnsi="Times New Roman" w:eastAsia="仿宋_GB2312" w:cs="Times New Roman"/>
          <w:sz w:val="32"/>
          <w:szCs w:val="32"/>
        </w:rPr>
        <w:t>OA</w:t>
      </w:r>
      <w:r>
        <w:rPr>
          <w:rFonts w:hint="eastAsia" w:ascii="Times New Roman" w:hAnsi="Times New Roman" w:eastAsia="仿宋_GB2312" w:cs="Times New Roman"/>
          <w:sz w:val="32"/>
          <w:szCs w:val="32"/>
        </w:rPr>
        <w:t>推送单据至部门物资员处，物资员审核后，推送至计量检测岗审核环节。</w:t>
      </w:r>
    </w:p>
    <w:p>
      <w:pPr>
        <w:spacing w:line="560" w:lineRule="exact"/>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5.2</w:t>
      </w:r>
      <w:r>
        <w:rPr>
          <w:rFonts w:hint="eastAsia" w:ascii="Times New Roman" w:hAnsi="Times New Roman" w:eastAsia="仿宋_GB2312" w:cs="Times New Roman"/>
          <w:sz w:val="32"/>
          <w:szCs w:val="32"/>
        </w:rPr>
        <w:t>供建中心计量检测室计量检测岗处审核，参照《仪器仪表管理办法》中仪器仪表检测清单及实物检测需求勾选是否需要计量选项，如需，则编码申请单内“是否计量”字段需要打勾，如未打勾，需驳回后在原编码申请单界面进行修改。</w:t>
      </w:r>
    </w:p>
    <w:p>
      <w:pPr>
        <w:spacing w:line="560" w:lineRule="exact"/>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5.3</w:t>
      </w:r>
      <w:r>
        <w:rPr>
          <w:rFonts w:hint="eastAsia" w:ascii="Times New Roman" w:hAnsi="Times New Roman" w:eastAsia="仿宋_GB2312" w:cs="Times New Roman"/>
          <w:sz w:val="32"/>
          <w:szCs w:val="32"/>
        </w:rPr>
        <w:t>财务部资产管理岗审核资产类别选择是否符合资产管理要求、资产属性是否正确、资产组是否勾选正确，如不正确，需驳回后重新选择资产类别。</w:t>
      </w:r>
    </w:p>
    <w:p>
      <w:pPr>
        <w:spacing w:line="560" w:lineRule="exact"/>
        <w:ind w:firstLine="640" w:firstLineChars="200"/>
        <w:rPr>
          <w:rFonts w:ascii="Times New Roman" w:hAnsi="Times New Roman" w:eastAsia="仿宋_GB2312" w:cs="Times New Roman"/>
          <w:sz w:val="32"/>
          <w:szCs w:val="22"/>
          <w:lang w:bidi="ar"/>
        </w:rPr>
      </w:pPr>
      <w:r>
        <w:rPr>
          <w:rFonts w:ascii="Times New Roman" w:hAnsi="Times New Roman" w:eastAsia="仿宋_GB2312" w:cs="Times New Roman"/>
          <w:sz w:val="32"/>
          <w:szCs w:val="22"/>
          <w:lang w:bidi="ar"/>
        </w:rPr>
        <w:t>5.3.1</w:t>
      </w:r>
      <w:r>
        <w:rPr>
          <w:rFonts w:hint="eastAsia" w:ascii="Times New Roman" w:hAnsi="Times New Roman" w:eastAsia="仿宋_GB2312" w:cs="Times New Roman"/>
          <w:sz w:val="32"/>
          <w:szCs w:val="22"/>
          <w:lang w:bidi="ar"/>
        </w:rPr>
        <w:t>物资对应的资产分类应匹配准确。资产分类须匹配至资产分类三级对应设备名称（三级半）或资产分类四级对应设备名称（四级半）。如物资为固定资产或低值易耗品的，须匹配资产分类三级对应的设备名称（三级半）。</w:t>
      </w:r>
    </w:p>
    <w:p>
      <w:pPr>
        <w:spacing w:line="560" w:lineRule="exact"/>
        <w:ind w:firstLine="640" w:firstLineChars="200"/>
        <w:rPr>
          <w:rFonts w:ascii="Times New Roman" w:hAnsi="Times New Roman" w:eastAsia="仿宋_GB2312" w:cs="Times New Roman"/>
          <w:sz w:val="32"/>
          <w:szCs w:val="22"/>
          <w:lang w:bidi="ar"/>
        </w:rPr>
      </w:pPr>
      <w:r>
        <w:rPr>
          <w:rFonts w:ascii="Times New Roman" w:hAnsi="Times New Roman" w:eastAsia="仿宋_GB2312" w:cs="Times New Roman"/>
          <w:sz w:val="32"/>
          <w:szCs w:val="22"/>
          <w:lang w:bidi="ar"/>
        </w:rPr>
        <w:t>5.3.</w:t>
      </w:r>
      <w:r>
        <w:rPr>
          <w:rFonts w:hint="eastAsia" w:ascii="Times New Roman" w:hAnsi="Times New Roman" w:eastAsia="仿宋_GB2312" w:cs="Times New Roman"/>
          <w:sz w:val="32"/>
          <w:szCs w:val="22"/>
          <w:lang w:bidi="ar"/>
        </w:rPr>
        <w:t>2如紧急申请物资编码的情况，使用部门应可暂时选择相近资产分类（资产分类属性标识需正确），并在审批意见中说明；待资产分类完成新增后，通过信息系统数据单更新编码对应资产分类信息。</w:t>
      </w:r>
    </w:p>
    <w:p>
      <w:pPr>
        <w:spacing w:line="560" w:lineRule="exact"/>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5.4</w:t>
      </w:r>
      <w:r>
        <w:rPr>
          <w:rFonts w:hint="eastAsia" w:ascii="Times New Roman" w:hAnsi="Times New Roman" w:eastAsia="仿宋_GB2312" w:cs="Times New Roman"/>
          <w:sz w:val="32"/>
          <w:szCs w:val="32"/>
        </w:rPr>
        <w:t>物资管理部统计管理岗审核物资类型、物资名称、品牌、厂商、型号、技术参数、预算指导价、单位选择或填写是否合适，按照</w:t>
      </w:r>
      <w:r>
        <w:rPr>
          <w:rFonts w:ascii="Times New Roman" w:hAnsi="Times New Roman" w:eastAsia="仿宋_GB2312" w:cs="Times New Roman"/>
          <w:sz w:val="32"/>
          <w:szCs w:val="32"/>
        </w:rPr>
        <w:t>4.2-4.</w:t>
      </w:r>
      <w:r>
        <w:rPr>
          <w:rFonts w:hint="eastAsia" w:ascii="Times New Roman" w:hAnsi="Times New Roman" w:eastAsia="仿宋_GB2312" w:cs="Times New Roman"/>
          <w:sz w:val="32"/>
          <w:szCs w:val="32"/>
        </w:rPr>
        <w:t>7内容作为审核标准进行审核，同时核对编码库，与需求部门确认参数相似物资编码是否可满足需求。</w:t>
      </w:r>
    </w:p>
    <w:p>
      <w:pPr>
        <w:spacing w:line="560" w:lineRule="exact"/>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5.5计划采购室主任做最终审核。</w:t>
      </w:r>
    </w:p>
    <w:p>
      <w:pPr>
        <w:spacing w:line="560" w:lineRule="exact"/>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5.</w:t>
      </w:r>
      <w:r>
        <w:rPr>
          <w:rFonts w:hint="eastAsia" w:ascii="Times New Roman" w:hAnsi="Times New Roman" w:eastAsia="仿宋_GB2312" w:cs="Times New Roman"/>
          <w:sz w:val="32"/>
          <w:szCs w:val="32"/>
        </w:rPr>
        <w:t>6各环节审核无误后，在</w:t>
      </w:r>
      <w:r>
        <w:rPr>
          <w:rFonts w:ascii="Times New Roman" w:hAnsi="Times New Roman" w:eastAsia="仿宋_GB2312" w:cs="Times New Roman"/>
          <w:sz w:val="32"/>
          <w:szCs w:val="32"/>
        </w:rPr>
        <w:t>OA</w:t>
      </w:r>
      <w:r>
        <w:rPr>
          <w:rFonts w:hint="eastAsia" w:ascii="Times New Roman" w:hAnsi="Times New Roman" w:eastAsia="仿宋_GB2312" w:cs="Times New Roman"/>
          <w:sz w:val="32"/>
          <w:szCs w:val="32"/>
        </w:rPr>
        <w:t>单据内点击“流程结束”后，在系统内生成物资编码，可在</w:t>
      </w:r>
      <w:r>
        <w:rPr>
          <w:rFonts w:ascii="Times New Roman" w:hAnsi="Times New Roman" w:eastAsia="仿宋_GB2312" w:cs="Times New Roman"/>
          <w:sz w:val="32"/>
          <w:szCs w:val="32"/>
        </w:rPr>
        <w:t>HAP-</w:t>
      </w:r>
      <w:r>
        <w:rPr>
          <w:rFonts w:hint="eastAsia" w:ascii="Times New Roman" w:hAnsi="Times New Roman" w:eastAsia="仿宋_GB2312" w:cs="Times New Roman"/>
          <w:sz w:val="32"/>
          <w:szCs w:val="32"/>
        </w:rPr>
        <w:t>基础管理</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编码跟踪界面或原编码申请单界面查询已生成的物资编码。</w:t>
      </w:r>
    </w:p>
    <w:p>
      <w:pPr>
        <w:spacing w:line="560" w:lineRule="exact"/>
        <w:ind w:firstLine="640" w:firstLineChars="200"/>
        <w:outlineLvl w:val="1"/>
      </w:pPr>
      <w:r>
        <w:rPr>
          <w:rFonts w:hint="eastAsia" w:ascii="楷体_GB2312" w:hAnsi="楷体_GB2312" w:eastAsia="楷体_GB2312" w:cs="楷体_GB2312"/>
          <w:sz w:val="32"/>
          <w:szCs w:val="32"/>
        </w:rPr>
        <w:t>（三）编码修订</w:t>
      </w:r>
    </w:p>
    <w:p>
      <w:pPr>
        <w:spacing w:line="560" w:lineRule="exact"/>
        <w:ind w:firstLine="640" w:firstLineChars="200"/>
        <w:outlineLvl w:val="2"/>
        <w:rPr>
          <w:rFonts w:ascii="Times New Roman" w:hAnsi="Times New Roman" w:eastAsia="仿宋_GB2312" w:cs="Times New Roman"/>
          <w:sz w:val="32"/>
          <w:szCs w:val="32"/>
        </w:rPr>
      </w:pPr>
      <w:r>
        <w:rPr>
          <w:rFonts w:ascii="Times New Roman" w:hAnsi="Times New Roman" w:eastAsia="仿宋_GB2312" w:cs="Times New Roman"/>
          <w:sz w:val="32"/>
          <w:szCs w:val="32"/>
        </w:rPr>
        <w:t>1.</w:t>
      </w:r>
      <w:r>
        <w:rPr>
          <w:rFonts w:hint="eastAsia" w:ascii="Times New Roman" w:hAnsi="Times New Roman" w:eastAsia="仿宋_GB2312" w:cs="Times New Roman"/>
          <w:sz w:val="32"/>
          <w:szCs w:val="32"/>
        </w:rPr>
        <w:t>编码修订范围</w:t>
      </w:r>
    </w:p>
    <w:p>
      <w:pPr>
        <w:spacing w:line="560" w:lineRule="exact"/>
        <w:ind w:firstLine="420" w:firstLineChars="200"/>
        <w:rPr>
          <w:rFonts w:ascii="Times New Roman" w:hAnsi="Times New Roman" w:eastAsia="仿宋_GB2312" w:cs="Times New Roman"/>
          <w:sz w:val="32"/>
          <w:szCs w:val="32"/>
        </w:rPr>
      </w:pPr>
      <w:r>
        <w:t xml:space="preserve">  </w:t>
      </w:r>
      <w:r>
        <w:rPr>
          <w:rFonts w:hint="eastAsia" w:ascii="Times New Roman" w:hAnsi="Times New Roman" w:eastAsia="仿宋_GB2312" w:cs="Times New Roman"/>
          <w:sz w:val="32"/>
          <w:szCs w:val="32"/>
        </w:rPr>
        <w:t>编码修订仅用于修订无关联采购和建设移交记录且修订后不造成一物多码的编码；或有关联采购或建设移交记录，但符合《附件3物资说明可调整情况分类》内情形的物资编码。</w:t>
      </w:r>
    </w:p>
    <w:p>
      <w:pPr>
        <w:spacing w:line="560" w:lineRule="exact"/>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所有涉及在执行需求计划的编码物资说明调整，需通过需求计划澄清流程进行；若发现HAP发起的编码物资说明调整，仍有在执行需求计划的，将驳回编码调整单，请通过需求计划澄清进行编码物资说明调整。（编码预算指导价修订、停启用操作，仍按编码调整单处理）</w:t>
      </w:r>
    </w:p>
    <w:p>
      <w:pPr>
        <w:spacing w:line="560" w:lineRule="exact"/>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有采购或建设移交记录且编码有实质性变化的，原则上应重新申请编码。特殊情况下，物资编码与仓库实物不一致，或物资编码与来源单据不一致的，仓储管理岗和计划统计岗讨论形成处理方案报部门审核后实施。</w:t>
      </w:r>
    </w:p>
    <w:p>
      <w:pPr>
        <w:spacing w:line="560" w:lineRule="exact"/>
        <w:ind w:firstLine="640" w:firstLineChars="200"/>
        <w:outlineLvl w:val="2"/>
        <w:rPr>
          <w:rFonts w:ascii="Times New Roman" w:hAnsi="Times New Roman" w:eastAsia="仿宋_GB2312" w:cs="Times New Roman"/>
          <w:sz w:val="32"/>
          <w:szCs w:val="32"/>
        </w:rPr>
      </w:pPr>
      <w:r>
        <w:rPr>
          <w:rFonts w:ascii="Times New Roman" w:hAnsi="Times New Roman" w:eastAsia="仿宋_GB2312" w:cs="Times New Roman"/>
          <w:sz w:val="32"/>
          <w:szCs w:val="32"/>
        </w:rPr>
        <w:t>2.</w:t>
      </w:r>
      <w:r>
        <w:rPr>
          <w:rFonts w:hint="eastAsia" w:ascii="Times New Roman" w:hAnsi="Times New Roman" w:eastAsia="仿宋_GB2312" w:cs="Times New Roman"/>
          <w:sz w:val="32"/>
          <w:szCs w:val="32"/>
        </w:rPr>
        <w:t>系统入口</w:t>
      </w:r>
    </w:p>
    <w:p>
      <w:pPr>
        <w:spacing w:line="560" w:lineRule="exact"/>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编码调整单：</w:t>
      </w:r>
      <w:r>
        <w:rPr>
          <w:rFonts w:ascii="Times New Roman" w:hAnsi="Times New Roman" w:eastAsia="仿宋_GB2312" w:cs="Times New Roman"/>
          <w:sz w:val="32"/>
          <w:szCs w:val="32"/>
        </w:rPr>
        <w:t>HAP</w:t>
      </w:r>
      <w:r>
        <w:rPr>
          <w:rFonts w:hint="eastAsia" w:ascii="Times New Roman" w:hAnsi="Times New Roman" w:eastAsia="仿宋_GB2312" w:cs="Times New Roman"/>
          <w:sz w:val="32"/>
          <w:szCs w:val="32"/>
        </w:rPr>
        <w:t>界面，用户登录</w:t>
      </w:r>
      <w:r>
        <w:rPr>
          <w:rFonts w:ascii="Times New Roman" w:hAnsi="Times New Roman" w:eastAsia="仿宋_GB2312" w:cs="Times New Roman"/>
          <w:sz w:val="32"/>
          <w:szCs w:val="32"/>
        </w:rPr>
        <w:t>&gt;</w:t>
      </w:r>
      <w:r>
        <w:rPr>
          <w:rFonts w:hint="eastAsia" w:ascii="Times New Roman" w:hAnsi="Times New Roman" w:eastAsia="仿宋_GB2312" w:cs="Times New Roman"/>
          <w:sz w:val="32"/>
          <w:szCs w:val="32"/>
        </w:rPr>
        <w:t>默认角色登录</w:t>
      </w:r>
      <w:r>
        <w:rPr>
          <w:rFonts w:ascii="Times New Roman" w:hAnsi="Times New Roman" w:eastAsia="仿宋_GB2312" w:cs="Times New Roman"/>
          <w:sz w:val="32"/>
          <w:szCs w:val="32"/>
        </w:rPr>
        <w:t>&gt;</w:t>
      </w:r>
      <w:r>
        <w:rPr>
          <w:rFonts w:hint="eastAsia" w:ascii="Times New Roman" w:hAnsi="Times New Roman" w:eastAsia="仿宋_GB2312" w:cs="Times New Roman"/>
          <w:sz w:val="32"/>
          <w:szCs w:val="32"/>
        </w:rPr>
        <w:t>基础管理</w:t>
      </w:r>
      <w:r>
        <w:rPr>
          <w:rFonts w:ascii="Times New Roman" w:hAnsi="Times New Roman" w:eastAsia="仿宋_GB2312" w:cs="Times New Roman"/>
          <w:sz w:val="32"/>
          <w:szCs w:val="32"/>
        </w:rPr>
        <w:t>&gt;</w:t>
      </w:r>
      <w:r>
        <w:rPr>
          <w:rFonts w:hint="eastAsia" w:ascii="Times New Roman" w:hAnsi="Times New Roman" w:eastAsia="仿宋_GB2312" w:cs="Times New Roman"/>
          <w:sz w:val="32"/>
          <w:szCs w:val="32"/>
        </w:rPr>
        <w:t>编码调整</w:t>
      </w:r>
    </w:p>
    <w:p>
      <w:pPr>
        <w:spacing w:line="560" w:lineRule="exact"/>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编码修订申请单：</w:t>
      </w:r>
      <w:r>
        <w:rPr>
          <w:rFonts w:ascii="Times New Roman" w:hAnsi="Times New Roman" w:eastAsia="仿宋_GB2312" w:cs="Times New Roman"/>
          <w:sz w:val="32"/>
          <w:szCs w:val="32"/>
        </w:rPr>
        <w:t>OA</w:t>
      </w:r>
      <w:r>
        <w:rPr>
          <w:rFonts w:hint="eastAsia" w:ascii="Times New Roman" w:hAnsi="Times New Roman" w:eastAsia="仿宋_GB2312" w:cs="Times New Roman"/>
          <w:sz w:val="32"/>
          <w:szCs w:val="32"/>
        </w:rPr>
        <w:t>，审批中心</w:t>
      </w:r>
      <w:r>
        <w:rPr>
          <w:rFonts w:ascii="Times New Roman" w:hAnsi="Times New Roman" w:eastAsia="仿宋_GB2312" w:cs="Times New Roman"/>
          <w:sz w:val="32"/>
          <w:szCs w:val="32"/>
        </w:rPr>
        <w:t>&gt;</w:t>
      </w:r>
      <w:r>
        <w:rPr>
          <w:rFonts w:hint="eastAsia" w:ascii="Times New Roman" w:hAnsi="Times New Roman" w:eastAsia="仿宋_GB2312" w:cs="Times New Roman"/>
          <w:sz w:val="32"/>
          <w:szCs w:val="32"/>
        </w:rPr>
        <w:t>物资管理部</w:t>
      </w:r>
      <w:r>
        <w:rPr>
          <w:rFonts w:ascii="Times New Roman" w:hAnsi="Times New Roman" w:eastAsia="仿宋_GB2312" w:cs="Times New Roman"/>
          <w:sz w:val="32"/>
          <w:szCs w:val="32"/>
        </w:rPr>
        <w:t>&gt;</w:t>
      </w:r>
      <w:r>
        <w:rPr>
          <w:rFonts w:hint="eastAsia" w:ascii="Times New Roman" w:hAnsi="Times New Roman" w:eastAsia="仿宋_GB2312" w:cs="Times New Roman"/>
          <w:sz w:val="32"/>
          <w:szCs w:val="32"/>
        </w:rPr>
        <w:t>物资类需求申请</w:t>
      </w:r>
      <w:r>
        <w:rPr>
          <w:rFonts w:ascii="Times New Roman" w:hAnsi="Times New Roman" w:eastAsia="仿宋_GB2312" w:cs="Times New Roman"/>
          <w:sz w:val="32"/>
          <w:szCs w:val="32"/>
        </w:rPr>
        <w:t>&gt;</w:t>
      </w:r>
      <w:r>
        <w:rPr>
          <w:rFonts w:hint="eastAsia" w:ascii="Times New Roman" w:hAnsi="Times New Roman" w:eastAsia="仿宋_GB2312" w:cs="Times New Roman"/>
          <w:sz w:val="32"/>
          <w:szCs w:val="32"/>
        </w:rPr>
        <w:t>物资编码修订申请</w:t>
      </w:r>
    </w:p>
    <w:p>
      <w:pPr>
        <w:spacing w:line="560" w:lineRule="exact"/>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drawing>
          <wp:anchor distT="0" distB="0" distL="114300" distR="114300" simplePos="0" relativeHeight="251660288" behindDoc="0" locked="0" layoutInCell="1" allowOverlap="1">
            <wp:simplePos x="0" y="0"/>
            <wp:positionH relativeFrom="column">
              <wp:posOffset>516890</wp:posOffset>
            </wp:positionH>
            <wp:positionV relativeFrom="paragraph">
              <wp:posOffset>208915</wp:posOffset>
            </wp:positionV>
            <wp:extent cx="4751070" cy="2527935"/>
            <wp:effectExtent l="0" t="0" r="0" b="5715"/>
            <wp:wrapTopAndBottom/>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12"/>
                    <a:stretch>
                      <a:fillRect/>
                    </a:stretch>
                  </pic:blipFill>
                  <pic:spPr>
                    <a:xfrm>
                      <a:off x="0" y="0"/>
                      <a:ext cx="4751070" cy="2527935"/>
                    </a:xfrm>
                    <a:prstGeom prst="rect">
                      <a:avLst/>
                    </a:prstGeom>
                    <a:noFill/>
                    <a:ln>
                      <a:noFill/>
                    </a:ln>
                  </pic:spPr>
                </pic:pic>
              </a:graphicData>
            </a:graphic>
          </wp:anchor>
        </w:drawing>
      </w:r>
      <w:r>
        <w:rPr>
          <w:rFonts w:ascii="Times New Roman" w:hAnsi="Times New Roman" w:eastAsia="仿宋_GB2312" w:cs="Times New Roman"/>
          <w:sz w:val="32"/>
          <w:szCs w:val="32"/>
        </w:rPr>
        <w:drawing>
          <wp:anchor distT="0" distB="0" distL="114300" distR="114300" simplePos="0" relativeHeight="251659264" behindDoc="0" locked="0" layoutInCell="1" allowOverlap="1">
            <wp:simplePos x="0" y="0"/>
            <wp:positionH relativeFrom="column">
              <wp:posOffset>176530</wp:posOffset>
            </wp:positionH>
            <wp:positionV relativeFrom="paragraph">
              <wp:posOffset>82550</wp:posOffset>
            </wp:positionV>
            <wp:extent cx="5374640" cy="2804160"/>
            <wp:effectExtent l="0" t="0" r="0" b="0"/>
            <wp:wrapTopAndBottom/>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3"/>
                    <a:stretch>
                      <a:fillRect/>
                    </a:stretch>
                  </pic:blipFill>
                  <pic:spPr>
                    <a:xfrm>
                      <a:off x="0" y="0"/>
                      <a:ext cx="5374640" cy="2804160"/>
                    </a:xfrm>
                    <a:prstGeom prst="rect">
                      <a:avLst/>
                    </a:prstGeom>
                    <a:noFill/>
                    <a:ln>
                      <a:noFill/>
                    </a:ln>
                  </pic:spPr>
                </pic:pic>
              </a:graphicData>
            </a:graphic>
          </wp:anchor>
        </w:drawing>
      </w:r>
      <w:r>
        <w:rPr>
          <w:rFonts w:ascii="Times New Roman" w:hAnsi="Times New Roman" w:eastAsia="仿宋_GB2312" w:cs="Times New Roman"/>
          <w:sz w:val="32"/>
          <w:szCs w:val="32"/>
        </w:rPr>
        <w:t>3.</w:t>
      </w:r>
      <w:r>
        <w:rPr>
          <w:rFonts w:hint="eastAsia" w:ascii="Times New Roman" w:hAnsi="Times New Roman" w:eastAsia="仿宋_GB2312" w:cs="Times New Roman"/>
          <w:sz w:val="32"/>
          <w:szCs w:val="32"/>
        </w:rPr>
        <w:t>权限管理</w:t>
      </w:r>
    </w:p>
    <w:p>
      <w:pPr>
        <w:spacing w:line="560" w:lineRule="exact"/>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HAP</w:t>
      </w:r>
      <w:r>
        <w:rPr>
          <w:rFonts w:hint="eastAsia" w:ascii="Times New Roman" w:hAnsi="Times New Roman" w:eastAsia="仿宋_GB2312" w:cs="Times New Roman"/>
          <w:sz w:val="32"/>
          <w:szCs w:val="32"/>
        </w:rPr>
        <w:t>角色：地铁运营</w:t>
      </w:r>
      <w:r>
        <w:rPr>
          <w:rFonts w:ascii="Times New Roman" w:hAnsi="Times New Roman" w:eastAsia="仿宋_GB2312" w:cs="Times New Roman"/>
          <w:sz w:val="32"/>
          <w:szCs w:val="32"/>
        </w:rPr>
        <w:t>_</w:t>
      </w:r>
      <w:r>
        <w:rPr>
          <w:rFonts w:hint="eastAsia" w:ascii="Times New Roman" w:hAnsi="Times New Roman" w:eastAsia="仿宋_GB2312" w:cs="Times New Roman"/>
          <w:sz w:val="32"/>
          <w:szCs w:val="32"/>
        </w:rPr>
        <w:t>物资员、地铁运营</w:t>
      </w:r>
      <w:r>
        <w:rPr>
          <w:rFonts w:ascii="Times New Roman" w:hAnsi="Times New Roman" w:eastAsia="仿宋_GB2312" w:cs="Times New Roman"/>
          <w:sz w:val="32"/>
          <w:szCs w:val="32"/>
        </w:rPr>
        <w:t>_</w:t>
      </w:r>
      <w:r>
        <w:rPr>
          <w:rFonts w:hint="eastAsia" w:ascii="Times New Roman" w:hAnsi="Times New Roman" w:eastAsia="仿宋_GB2312" w:cs="Times New Roman"/>
          <w:sz w:val="32"/>
          <w:szCs w:val="32"/>
        </w:rPr>
        <w:t>采购岗、地铁运营</w:t>
      </w:r>
      <w:r>
        <w:rPr>
          <w:rFonts w:ascii="Times New Roman" w:hAnsi="Times New Roman" w:eastAsia="仿宋_GB2312" w:cs="Times New Roman"/>
          <w:sz w:val="32"/>
          <w:szCs w:val="32"/>
        </w:rPr>
        <w:t>_</w:t>
      </w:r>
      <w:r>
        <w:rPr>
          <w:rFonts w:hint="eastAsia" w:ascii="Times New Roman" w:hAnsi="Times New Roman" w:eastAsia="仿宋_GB2312" w:cs="Times New Roman"/>
          <w:sz w:val="32"/>
          <w:szCs w:val="32"/>
        </w:rPr>
        <w:t>采购管理岗、地铁运营</w:t>
      </w:r>
      <w:r>
        <w:rPr>
          <w:rFonts w:ascii="Times New Roman" w:hAnsi="Times New Roman" w:eastAsia="仿宋_GB2312" w:cs="Times New Roman"/>
          <w:sz w:val="32"/>
          <w:szCs w:val="32"/>
        </w:rPr>
        <w:t>_</w:t>
      </w:r>
      <w:r>
        <w:rPr>
          <w:rFonts w:hint="eastAsia" w:ascii="Times New Roman" w:hAnsi="Times New Roman" w:eastAsia="仿宋_GB2312" w:cs="Times New Roman"/>
          <w:sz w:val="32"/>
          <w:szCs w:val="32"/>
        </w:rPr>
        <w:t>计划岗</w:t>
      </w:r>
    </w:p>
    <w:p>
      <w:pPr>
        <w:spacing w:line="560" w:lineRule="exact"/>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drawing>
          <wp:anchor distT="0" distB="0" distL="114300" distR="114300" simplePos="0" relativeHeight="251662336" behindDoc="0" locked="0" layoutInCell="1" allowOverlap="1">
            <wp:simplePos x="0" y="0"/>
            <wp:positionH relativeFrom="column">
              <wp:posOffset>298450</wp:posOffset>
            </wp:positionH>
            <wp:positionV relativeFrom="paragraph">
              <wp:posOffset>784225</wp:posOffset>
            </wp:positionV>
            <wp:extent cx="5612130" cy="2421255"/>
            <wp:effectExtent l="0" t="0" r="7620" b="0"/>
            <wp:wrapTopAndBottom/>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14"/>
                    <a:stretch>
                      <a:fillRect/>
                    </a:stretch>
                  </pic:blipFill>
                  <pic:spPr>
                    <a:xfrm>
                      <a:off x="0" y="0"/>
                      <a:ext cx="5612130" cy="2421255"/>
                    </a:xfrm>
                    <a:prstGeom prst="rect">
                      <a:avLst/>
                    </a:prstGeom>
                    <a:noFill/>
                    <a:ln>
                      <a:noFill/>
                    </a:ln>
                  </pic:spPr>
                </pic:pic>
              </a:graphicData>
            </a:graphic>
          </wp:anchor>
        </w:drawing>
      </w:r>
      <w:r>
        <w:rPr>
          <w:rFonts w:ascii="Times New Roman" w:hAnsi="Times New Roman" w:eastAsia="仿宋_GB2312" w:cs="Times New Roman"/>
          <w:sz w:val="32"/>
          <w:szCs w:val="32"/>
        </w:rPr>
        <w:t>4.</w:t>
      </w:r>
      <w:r>
        <w:rPr>
          <w:rFonts w:hint="eastAsia" w:ascii="Times New Roman" w:hAnsi="Times New Roman" w:eastAsia="仿宋_GB2312" w:cs="Times New Roman"/>
          <w:sz w:val="32"/>
          <w:szCs w:val="32"/>
        </w:rPr>
        <w:t>编码调整单（不涉及资产分类补充、资产分类修订的编码修订）</w:t>
      </w:r>
    </w:p>
    <w:p>
      <w:pPr>
        <w:spacing w:line="560" w:lineRule="exact"/>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编码调整单可进行编码的物资说明、预算指导价修订，以及资产分类无需调整的编码启用、编码停用。</w:t>
      </w:r>
    </w:p>
    <w:p>
      <w:pPr>
        <w:spacing w:line="560" w:lineRule="exact"/>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drawing>
          <wp:anchor distT="0" distB="0" distL="114300" distR="114300" simplePos="0" relativeHeight="251663360" behindDoc="0" locked="0" layoutInCell="1" allowOverlap="1">
            <wp:simplePos x="0" y="0"/>
            <wp:positionH relativeFrom="column">
              <wp:posOffset>9525</wp:posOffset>
            </wp:positionH>
            <wp:positionV relativeFrom="paragraph">
              <wp:posOffset>43180</wp:posOffset>
            </wp:positionV>
            <wp:extent cx="5374640" cy="2114550"/>
            <wp:effectExtent l="0" t="0" r="0" b="0"/>
            <wp:wrapTopAndBottom/>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15"/>
                    <a:stretch>
                      <a:fillRect/>
                    </a:stretch>
                  </pic:blipFill>
                  <pic:spPr>
                    <a:xfrm>
                      <a:off x="0" y="0"/>
                      <a:ext cx="5374640" cy="2114550"/>
                    </a:xfrm>
                    <a:prstGeom prst="rect">
                      <a:avLst/>
                    </a:prstGeom>
                    <a:noFill/>
                    <a:ln>
                      <a:noFill/>
                    </a:ln>
                  </pic:spPr>
                </pic:pic>
              </a:graphicData>
            </a:graphic>
          </wp:anchor>
        </w:drawing>
      </w:r>
      <w:r>
        <w:rPr>
          <w:rFonts w:ascii="Times New Roman" w:hAnsi="Times New Roman" w:eastAsia="仿宋_GB2312" w:cs="Times New Roman"/>
          <w:sz w:val="32"/>
          <w:szCs w:val="32"/>
        </w:rPr>
        <w:t>4.1</w:t>
      </w:r>
      <w:r>
        <w:rPr>
          <w:rFonts w:hint="eastAsia" w:ascii="Times New Roman" w:hAnsi="Times New Roman" w:eastAsia="仿宋_GB2312" w:cs="Times New Roman"/>
          <w:sz w:val="32"/>
          <w:szCs w:val="32"/>
        </w:rPr>
        <w:t>编码调整单创建</w:t>
      </w:r>
    </w:p>
    <w:p>
      <w:pPr>
        <w:spacing w:line="560" w:lineRule="exact"/>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4.1.1</w:t>
      </w:r>
      <w:r>
        <w:rPr>
          <w:rFonts w:hint="eastAsia" w:ascii="Times New Roman" w:hAnsi="Times New Roman" w:eastAsia="仿宋_GB2312" w:cs="Times New Roman"/>
          <w:sz w:val="32"/>
          <w:szCs w:val="32"/>
        </w:rPr>
        <w:t>申请人点击【编码调整】界面的【新建】按钮，跳转至“编码调整单据新建”界面。</w:t>
      </w:r>
    </w:p>
    <w:p>
      <w:pPr>
        <w:spacing w:line="560" w:lineRule="exact"/>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4.1.2</w:t>
      </w:r>
      <w:r>
        <w:rPr>
          <w:rFonts w:hint="eastAsia" w:ascii="Times New Roman" w:hAnsi="Times New Roman" w:eastAsia="仿宋_GB2312" w:cs="Times New Roman"/>
          <w:sz w:val="32"/>
          <w:szCs w:val="32"/>
        </w:rPr>
        <w:t>申请人填写【调整说明】字段后保存头信息，系统默认补充单号，头信息保存完成后，进行行信息填写。</w:t>
      </w:r>
    </w:p>
    <w:p>
      <w:pPr>
        <w:spacing w:line="560" w:lineRule="exact"/>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4.1.3</w:t>
      </w:r>
      <w:r>
        <w:rPr>
          <w:rFonts w:hint="eastAsia" w:ascii="Times New Roman" w:hAnsi="Times New Roman" w:eastAsia="仿宋_GB2312" w:cs="Times New Roman"/>
          <w:sz w:val="32"/>
          <w:szCs w:val="32"/>
        </w:rPr>
        <w:t>行信息录入方式有两种，一是手工新建，点击行新建按钮，填写【物资编号】、【启用</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停用</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变更】，当【启用</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停用</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变更】选择停用时，除备注外其他字段不可填写；当【启用</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停用</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变更】选择启用或变更时，可填写【调整后物资名称】、【调整后品牌厂商】、【调整后规格型号技术参数】、【调整后预算指导价】、【备注】，【调整后物资说明】由【调整后物资名称】、【调整后品牌厂商】、【调整后规格型号技术参数】拼接而成，【原物资说明】、【单位】、【原预算指导价】、【物料类型】、【物料类别】、【物料类别说明】、【资产分类属性】直接由物资编码直接带出。</w:t>
      </w:r>
    </w:p>
    <w:p>
      <w:pPr>
        <w:spacing w:line="560" w:lineRule="exact"/>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4.1.4</w:t>
      </w:r>
      <w:r>
        <w:rPr>
          <w:rFonts w:hint="eastAsia" w:ascii="Times New Roman" w:hAnsi="Times New Roman" w:eastAsia="仿宋_GB2312" w:cs="Times New Roman"/>
          <w:sz w:val="32"/>
          <w:szCs w:val="32"/>
        </w:rPr>
        <w:t>另一种创建行信息的方式为导入，点击行【导入】按钮，跳转至【物资编码调整行导入】界面进行行导入。在【物资编码调整行导入】界面点击【下载模板】按钮，进行导入模板下载。用户按照模板填写相关信息，当新增行时【新增</w:t>
      </w:r>
      <w:r>
        <w:rPr>
          <w:rFonts w:ascii="Times New Roman" w:hAnsi="Times New Roman" w:eastAsia="仿宋_GB2312" w:cs="Times New Roman"/>
          <w:sz w:val="32"/>
          <w:szCs w:val="32"/>
        </w:rPr>
        <w:t>N/</w:t>
      </w:r>
      <w:r>
        <w:rPr>
          <w:rFonts w:hint="eastAsia" w:ascii="Times New Roman" w:hAnsi="Times New Roman" w:eastAsia="仿宋_GB2312" w:cs="Times New Roman"/>
          <w:sz w:val="32"/>
          <w:szCs w:val="32"/>
        </w:rPr>
        <w:t>修改</w:t>
      </w:r>
      <w:r>
        <w:rPr>
          <w:rFonts w:ascii="Times New Roman" w:hAnsi="Times New Roman" w:eastAsia="仿宋_GB2312" w:cs="Times New Roman"/>
          <w:sz w:val="32"/>
          <w:szCs w:val="32"/>
        </w:rPr>
        <w:t>Y*</w:t>
      </w:r>
      <w:r>
        <w:rPr>
          <w:rFonts w:hint="eastAsia" w:ascii="Times New Roman" w:hAnsi="Times New Roman" w:eastAsia="仿宋_GB2312" w:cs="Times New Roman"/>
          <w:sz w:val="32"/>
          <w:szCs w:val="32"/>
        </w:rPr>
        <w:t>】选择</w:t>
      </w:r>
      <w:r>
        <w:rPr>
          <w:rFonts w:ascii="Times New Roman" w:hAnsi="Times New Roman" w:eastAsia="仿宋_GB2312" w:cs="Times New Roman"/>
          <w:sz w:val="32"/>
          <w:szCs w:val="32"/>
        </w:rPr>
        <w:t>N</w:t>
      </w:r>
      <w:r>
        <w:rPr>
          <w:rFonts w:hint="eastAsia" w:ascii="Times New Roman" w:hAnsi="Times New Roman" w:eastAsia="仿宋_GB2312" w:cs="Times New Roman"/>
          <w:sz w:val="32"/>
          <w:szCs w:val="32"/>
        </w:rPr>
        <w:t>；当修改行时【新增</w:t>
      </w:r>
      <w:r>
        <w:rPr>
          <w:rFonts w:ascii="Times New Roman" w:hAnsi="Times New Roman" w:eastAsia="仿宋_GB2312" w:cs="Times New Roman"/>
          <w:sz w:val="32"/>
          <w:szCs w:val="32"/>
        </w:rPr>
        <w:t>N/</w:t>
      </w:r>
      <w:r>
        <w:rPr>
          <w:rFonts w:hint="eastAsia" w:ascii="Times New Roman" w:hAnsi="Times New Roman" w:eastAsia="仿宋_GB2312" w:cs="Times New Roman"/>
          <w:sz w:val="32"/>
          <w:szCs w:val="32"/>
        </w:rPr>
        <w:t>修改</w:t>
      </w:r>
      <w:r>
        <w:rPr>
          <w:rFonts w:ascii="Times New Roman" w:hAnsi="Times New Roman" w:eastAsia="仿宋_GB2312" w:cs="Times New Roman"/>
          <w:sz w:val="32"/>
          <w:szCs w:val="32"/>
        </w:rPr>
        <w:t>Y*</w:t>
      </w:r>
      <w:r>
        <w:rPr>
          <w:rFonts w:hint="eastAsia" w:ascii="Times New Roman" w:hAnsi="Times New Roman" w:eastAsia="仿宋_GB2312" w:cs="Times New Roman"/>
          <w:sz w:val="32"/>
          <w:szCs w:val="32"/>
        </w:rPr>
        <w:t>】选择</w:t>
      </w:r>
      <w:r>
        <w:rPr>
          <w:rFonts w:ascii="Times New Roman" w:hAnsi="Times New Roman" w:eastAsia="仿宋_GB2312" w:cs="Times New Roman"/>
          <w:sz w:val="32"/>
          <w:szCs w:val="32"/>
        </w:rPr>
        <w:t>Y</w:t>
      </w:r>
      <w:r>
        <w:rPr>
          <w:rFonts w:hint="eastAsia" w:ascii="Times New Roman" w:hAnsi="Times New Roman" w:eastAsia="仿宋_GB2312" w:cs="Times New Roman"/>
          <w:sz w:val="32"/>
          <w:szCs w:val="32"/>
        </w:rPr>
        <w:t>。填写字段信息参考新建行时填写要求。</w:t>
      </w:r>
    </w:p>
    <w:p>
      <w:pPr>
        <w:spacing w:line="560" w:lineRule="exact"/>
        <w:ind w:firstLine="640" w:firstLineChars="200"/>
        <w:rPr>
          <w:rFonts w:eastAsia="仿宋_GB2312"/>
        </w:rPr>
      </w:pPr>
      <w:r>
        <w:rPr>
          <w:rFonts w:hint="eastAsia" w:ascii="Times New Roman" w:hAnsi="Times New Roman" w:eastAsia="仿宋_GB2312" w:cs="Times New Roman"/>
          <w:sz w:val="32"/>
          <w:szCs w:val="32"/>
        </w:rPr>
        <w:t>当模板填写完成后点击【物资编码调整行导入】的【选择文件】按钮，选择文件路径双击选择，文件选择完成后再点击【上传】按钮，将数据导入。</w:t>
      </w:r>
    </w:p>
    <w:p>
      <w:pPr>
        <w:spacing w:line="560" w:lineRule="exact"/>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点击完【上传】按钮后，系统将对数据进行校验，当校验成功后会显示‘上传成功’；当校验失败时会显示‘导入失败’，用户可点击详情按钮查看错误信息。</w:t>
      </w:r>
    </w:p>
    <w:p>
      <w:pPr>
        <w:spacing w:line="560" w:lineRule="exact"/>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drawing>
          <wp:anchor distT="0" distB="0" distL="114300" distR="114300" simplePos="0" relativeHeight="251664384" behindDoc="0" locked="0" layoutInCell="1" allowOverlap="1">
            <wp:simplePos x="0" y="0"/>
            <wp:positionH relativeFrom="column">
              <wp:posOffset>-8255</wp:posOffset>
            </wp:positionH>
            <wp:positionV relativeFrom="paragraph">
              <wp:posOffset>175895</wp:posOffset>
            </wp:positionV>
            <wp:extent cx="5611495" cy="2054860"/>
            <wp:effectExtent l="0" t="0" r="8255" b="2540"/>
            <wp:wrapTopAndBottom/>
            <wp:docPr id="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pic:cNvPicPr>
                      <a:picLocks noChangeAspect="1"/>
                    </pic:cNvPicPr>
                  </pic:nvPicPr>
                  <pic:blipFill>
                    <a:blip r:embed="rId16"/>
                    <a:stretch>
                      <a:fillRect/>
                    </a:stretch>
                  </pic:blipFill>
                  <pic:spPr>
                    <a:xfrm>
                      <a:off x="0" y="0"/>
                      <a:ext cx="5611495" cy="2054860"/>
                    </a:xfrm>
                    <a:prstGeom prst="rect">
                      <a:avLst/>
                    </a:prstGeom>
                    <a:noFill/>
                    <a:ln>
                      <a:noFill/>
                    </a:ln>
                  </pic:spPr>
                </pic:pic>
              </a:graphicData>
            </a:graphic>
          </wp:anchor>
        </w:drawing>
      </w:r>
      <w:r>
        <w:rPr>
          <w:rFonts w:ascii="Times New Roman" w:hAnsi="Times New Roman" w:eastAsia="仿宋_GB2312" w:cs="Times New Roman"/>
          <w:sz w:val="32"/>
          <w:szCs w:val="32"/>
        </w:rPr>
        <w:t>4.1.5</w:t>
      </w:r>
      <w:r>
        <w:rPr>
          <w:rFonts w:hint="eastAsia" w:ascii="Times New Roman" w:hAnsi="Times New Roman" w:eastAsia="仿宋_GB2312" w:cs="Times New Roman"/>
          <w:sz w:val="32"/>
          <w:szCs w:val="32"/>
        </w:rPr>
        <w:t>申请人需要在编码调整单的行备注处备注调整原因，如：品牌</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厂商错误；品牌厂商更改</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营业执照公司名称变更、技术参数错误、型号升级、建设移交物资实物与编码物资说明不符、预算指导价时间较久市场价格存在变动、预算指导价错误、与编码</w:t>
      </w:r>
      <w:r>
        <w:rPr>
          <w:rFonts w:ascii="Times New Roman" w:hAnsi="Times New Roman" w:eastAsia="仿宋_GB2312" w:cs="Times New Roman"/>
          <w:sz w:val="32"/>
          <w:szCs w:val="32"/>
        </w:rPr>
        <w:t>XXX</w:t>
      </w:r>
      <w:r>
        <w:rPr>
          <w:rFonts w:hint="eastAsia" w:ascii="Times New Roman" w:hAnsi="Times New Roman" w:eastAsia="仿宋_GB2312" w:cs="Times New Roman"/>
          <w:sz w:val="32"/>
          <w:szCs w:val="32"/>
        </w:rPr>
        <w:t>一物多码需停用、型号停产需停用等，不能只备注参数变更、型号变更、品牌修订等，该类备注无法解释变更原因。</w:t>
      </w:r>
    </w:p>
    <w:p>
      <w:pPr>
        <w:spacing w:line="560" w:lineRule="exact"/>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4.1.6</w:t>
      </w:r>
      <w:r>
        <w:rPr>
          <w:rFonts w:hint="eastAsia" w:ascii="Times New Roman" w:hAnsi="Times New Roman" w:eastAsia="仿宋_GB2312" w:cs="Times New Roman"/>
          <w:sz w:val="32"/>
          <w:szCs w:val="32"/>
        </w:rPr>
        <w:t>当单据填写完成，需要提交审批时，点击【编码调整】界面的【提交审批】按钮进行单据提交。提交审批成功后，单据提交至</w:t>
      </w:r>
      <w:r>
        <w:rPr>
          <w:rFonts w:ascii="Times New Roman" w:hAnsi="Times New Roman" w:eastAsia="仿宋_GB2312" w:cs="Times New Roman"/>
          <w:sz w:val="32"/>
          <w:szCs w:val="32"/>
        </w:rPr>
        <w:t>OA</w:t>
      </w:r>
      <w:r>
        <w:rPr>
          <w:rFonts w:hint="eastAsia" w:ascii="Times New Roman" w:hAnsi="Times New Roman" w:eastAsia="仿宋_GB2312" w:cs="Times New Roman"/>
          <w:sz w:val="32"/>
          <w:szCs w:val="32"/>
        </w:rPr>
        <w:t>进行审批。</w:t>
      </w:r>
    </w:p>
    <w:p>
      <w:pPr>
        <w:spacing w:line="560" w:lineRule="exact"/>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4.1.7</w:t>
      </w:r>
      <w:r>
        <w:rPr>
          <w:rFonts w:hint="eastAsia" w:ascii="Times New Roman" w:hAnsi="Times New Roman" w:eastAsia="仿宋_GB2312" w:cs="Times New Roman"/>
          <w:sz w:val="32"/>
          <w:szCs w:val="32"/>
        </w:rPr>
        <w:t>一旦录入编码，则该编码被占用，其他人员不能对该编码发起调整，故如果编码不再进行调整，请申请人及时【删除】对应行，或点击【编码调整】界面的【取消】按钮进行单据取消，取消后单据状态变为已取消。</w:t>
      </w:r>
    </w:p>
    <w:p>
      <w:pPr>
        <w:spacing w:line="560" w:lineRule="exact"/>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4.2</w:t>
      </w:r>
      <w:r>
        <w:rPr>
          <w:rFonts w:hint="eastAsia" w:ascii="Times New Roman" w:hAnsi="Times New Roman" w:eastAsia="仿宋_GB2312" w:cs="Times New Roman"/>
          <w:sz w:val="32"/>
          <w:szCs w:val="32"/>
        </w:rPr>
        <w:t>编码调整单审批</w:t>
      </w:r>
    </w:p>
    <w:p>
      <w:pPr>
        <w:spacing w:line="560" w:lineRule="exact"/>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4.2.1</w:t>
      </w:r>
      <w:r>
        <w:rPr>
          <w:rFonts w:hint="eastAsia" w:ascii="Times New Roman" w:hAnsi="Times New Roman" w:eastAsia="仿宋_GB2312" w:cs="Times New Roman"/>
          <w:sz w:val="32"/>
          <w:szCs w:val="32"/>
        </w:rPr>
        <w:t>部门物资员审核，如调整涉及品牌更换，且无关联采购、建设移交，需要重新进行单一品牌审核；若有相关历史记录，原则上重新申请编码。如涉及物资说明调整的，需要上传附件</w:t>
      </w:r>
      <w:r>
        <w:rPr>
          <w:rFonts w:ascii="Times New Roman" w:hAnsi="Times New Roman" w:eastAsia="仿宋_GB2312" w:cs="Times New Roman"/>
          <w:sz w:val="32"/>
          <w:szCs w:val="32"/>
        </w:rPr>
        <w:t>2</w:t>
      </w:r>
      <w:r>
        <w:rPr>
          <w:rFonts w:hint="eastAsia" w:ascii="Times New Roman" w:hAnsi="Times New Roman" w:eastAsia="仿宋_GB2312" w:cs="Times New Roman"/>
          <w:sz w:val="32"/>
          <w:szCs w:val="32"/>
        </w:rPr>
        <w:t>编码申请/修订自查问题表。</w:t>
      </w:r>
    </w:p>
    <w:p>
      <w:pPr>
        <w:spacing w:line="560" w:lineRule="exact"/>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4.2.</w:t>
      </w:r>
      <w:r>
        <w:rPr>
          <w:rFonts w:hint="eastAsia" w:ascii="Times New Roman" w:hAnsi="Times New Roman" w:eastAsia="仿宋_GB2312" w:cs="Times New Roman"/>
          <w:sz w:val="32"/>
          <w:szCs w:val="32"/>
        </w:rPr>
        <w:t>2物资管理部库存管理岗审核修改后的物资说明是否与库存实物、库存来源单据（四方移交单、采购订单）相符合，根据以下情况针对每项编码给出审批意见。</w:t>
      </w:r>
    </w:p>
    <w:tbl>
      <w:tblPr>
        <w:tblStyle w:val="11"/>
        <w:tblW w:w="84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0"/>
        <w:gridCol w:w="77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00" w:type="dxa"/>
          </w:tcPr>
          <w:p>
            <w:pPr>
              <w:spacing w:line="560" w:lineRule="exact"/>
              <w:jc w:val="center"/>
              <w:rPr>
                <w:rFonts w:ascii="Times New Roman" w:hAnsi="Times New Roman" w:eastAsia="仿宋_GB2312" w:cs="Times New Roman"/>
                <w:b/>
                <w:bCs/>
                <w:szCs w:val="21"/>
              </w:rPr>
            </w:pPr>
            <w:r>
              <w:rPr>
                <w:rFonts w:hint="eastAsia" w:ascii="Times New Roman" w:hAnsi="Times New Roman" w:eastAsia="仿宋_GB2312" w:cs="Times New Roman"/>
                <w:b/>
                <w:bCs/>
                <w:szCs w:val="21"/>
              </w:rPr>
              <w:t>序号</w:t>
            </w:r>
          </w:p>
        </w:tc>
        <w:tc>
          <w:tcPr>
            <w:tcW w:w="7795" w:type="dxa"/>
          </w:tcPr>
          <w:p>
            <w:pPr>
              <w:spacing w:line="560" w:lineRule="exact"/>
              <w:jc w:val="center"/>
              <w:rPr>
                <w:rFonts w:ascii="Times New Roman" w:hAnsi="Times New Roman" w:eastAsia="仿宋_GB2312" w:cs="Times New Roman"/>
                <w:b/>
                <w:bCs/>
                <w:szCs w:val="21"/>
              </w:rPr>
            </w:pPr>
            <w:r>
              <w:rPr>
                <w:rFonts w:hint="eastAsia" w:ascii="Times New Roman" w:hAnsi="Times New Roman" w:eastAsia="仿宋_GB2312" w:cs="Times New Roman"/>
                <w:b/>
                <w:bCs/>
                <w:szCs w:val="21"/>
              </w:rPr>
              <w:t>审批意见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700" w:type="dxa"/>
          </w:tcPr>
          <w:p>
            <w:pPr>
              <w:spacing w:line="560" w:lineRule="exact"/>
              <w:rPr>
                <w:rFonts w:ascii="Times New Roman" w:hAnsi="Times New Roman" w:eastAsia="仿宋_GB2312" w:cs="Times New Roman"/>
                <w:sz w:val="20"/>
                <w:szCs w:val="20"/>
              </w:rPr>
            </w:pPr>
            <w:r>
              <w:rPr>
                <w:rFonts w:ascii="Times New Roman" w:hAnsi="Times New Roman" w:eastAsia="仿宋_GB2312" w:cs="Times New Roman"/>
                <w:sz w:val="20"/>
                <w:szCs w:val="20"/>
              </w:rPr>
              <w:t>1</w:t>
            </w:r>
          </w:p>
        </w:tc>
        <w:tc>
          <w:tcPr>
            <w:tcW w:w="7795" w:type="dxa"/>
          </w:tcPr>
          <w:p>
            <w:pPr>
              <w:spacing w:line="560" w:lineRule="exact"/>
              <w:rPr>
                <w:rFonts w:ascii="Times New Roman" w:hAnsi="Times New Roman" w:eastAsia="仿宋_GB2312" w:cs="Times New Roman"/>
                <w:sz w:val="20"/>
                <w:szCs w:val="20"/>
              </w:rPr>
            </w:pPr>
            <w:r>
              <w:rPr>
                <w:rFonts w:hint="eastAsia"/>
              </w:rPr>
              <w:t>无库存、无建设移交、无采购记录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700" w:type="dxa"/>
          </w:tcPr>
          <w:p>
            <w:pPr>
              <w:spacing w:line="560" w:lineRule="exact"/>
              <w:rPr>
                <w:rFonts w:ascii="Times New Roman" w:hAnsi="Times New Roman" w:eastAsia="仿宋_GB2312" w:cs="Times New Roman"/>
                <w:sz w:val="20"/>
                <w:szCs w:val="20"/>
              </w:rPr>
            </w:pPr>
            <w:r>
              <w:rPr>
                <w:rFonts w:ascii="Times New Roman" w:hAnsi="Times New Roman" w:eastAsia="仿宋_GB2312" w:cs="Times New Roman"/>
                <w:sz w:val="20"/>
                <w:szCs w:val="20"/>
              </w:rPr>
              <w:t>2</w:t>
            </w:r>
          </w:p>
        </w:tc>
        <w:tc>
          <w:tcPr>
            <w:tcW w:w="7795" w:type="dxa"/>
          </w:tcPr>
          <w:p>
            <w:pPr>
              <w:spacing w:line="300" w:lineRule="exact"/>
            </w:pPr>
            <w:r>
              <w:rPr>
                <w:rFonts w:hint="eastAsia"/>
              </w:rPr>
              <w:t>无库存、无建设移交，但有采购记录，[采购信息与现编码信息一致]，[或采购信息与拟修订编码信息一致]，[或采购信息与现编码、拟修订编码信息均不一致]。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700" w:type="dxa"/>
          </w:tcPr>
          <w:p>
            <w:pPr>
              <w:spacing w:line="560" w:lineRule="exact"/>
              <w:rPr>
                <w:rFonts w:ascii="Times New Roman" w:hAnsi="Times New Roman" w:eastAsia="仿宋_GB2312" w:cs="Times New Roman"/>
                <w:sz w:val="20"/>
                <w:szCs w:val="20"/>
              </w:rPr>
            </w:pPr>
            <w:r>
              <w:rPr>
                <w:rFonts w:ascii="Times New Roman" w:hAnsi="Times New Roman" w:eastAsia="仿宋_GB2312" w:cs="Times New Roman"/>
                <w:sz w:val="20"/>
                <w:szCs w:val="20"/>
              </w:rPr>
              <w:t>3</w:t>
            </w:r>
          </w:p>
        </w:tc>
        <w:tc>
          <w:tcPr>
            <w:tcW w:w="7795" w:type="dxa"/>
          </w:tcPr>
          <w:p>
            <w:pPr>
              <w:spacing w:line="300" w:lineRule="exact"/>
            </w:pPr>
            <w:r>
              <w:rPr>
                <w:rFonts w:hint="eastAsia"/>
              </w:rPr>
              <w:t>无库存、无采购记录，但有建设移交，[移交信息与现编码信息一致]，[或移交信息与拟修订编码信息一致]，[或移交信息与现编码、拟修订编码信息均不一致]。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700" w:type="dxa"/>
          </w:tcPr>
          <w:p>
            <w:pPr>
              <w:spacing w:line="560" w:lineRule="exact"/>
              <w:rPr>
                <w:rFonts w:ascii="Times New Roman" w:hAnsi="Times New Roman" w:eastAsia="仿宋_GB2312" w:cs="Times New Roman"/>
                <w:sz w:val="20"/>
                <w:szCs w:val="20"/>
              </w:rPr>
            </w:pPr>
            <w:r>
              <w:rPr>
                <w:rFonts w:ascii="Times New Roman" w:hAnsi="Times New Roman" w:eastAsia="仿宋_GB2312" w:cs="Times New Roman"/>
                <w:sz w:val="20"/>
                <w:szCs w:val="20"/>
              </w:rPr>
              <w:t>4</w:t>
            </w:r>
          </w:p>
        </w:tc>
        <w:tc>
          <w:tcPr>
            <w:tcW w:w="7795" w:type="dxa"/>
          </w:tcPr>
          <w:p>
            <w:pPr>
              <w:spacing w:line="300" w:lineRule="exact"/>
            </w:pPr>
            <w:r>
              <w:rPr>
                <w:rFonts w:hint="eastAsia"/>
              </w:rPr>
              <w:t>无库存，但有建设移交、采购记录，[移交信息、采购信息均与现编码信息一致]，[或移交信息、采购信息均与拟修订编码信息一致]，[或移交信息与拟修订编码信息一致，采购信息与现编码信息一致]，[或移交信息与现编码信息一致，采购信息与拟修订编码信息一致]，或[移交信息、采购信息与现编码信息、拟修订编码信息均不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700" w:type="dxa"/>
          </w:tcPr>
          <w:p>
            <w:pPr>
              <w:spacing w:line="560" w:lineRule="exact"/>
              <w:rPr>
                <w:rFonts w:ascii="Times New Roman" w:hAnsi="Times New Roman" w:eastAsia="仿宋_GB2312" w:cs="Times New Roman"/>
                <w:sz w:val="20"/>
                <w:szCs w:val="20"/>
              </w:rPr>
            </w:pPr>
            <w:r>
              <w:rPr>
                <w:rFonts w:hint="eastAsia" w:ascii="Times New Roman" w:hAnsi="Times New Roman" w:eastAsia="仿宋_GB2312" w:cs="Times New Roman"/>
                <w:sz w:val="20"/>
                <w:szCs w:val="20"/>
              </w:rPr>
              <w:t>5</w:t>
            </w:r>
          </w:p>
        </w:tc>
        <w:tc>
          <w:tcPr>
            <w:tcW w:w="7795" w:type="dxa"/>
          </w:tcPr>
          <w:p>
            <w:pPr>
              <w:spacing w:line="300" w:lineRule="exact"/>
            </w:pPr>
            <w:r>
              <w:rPr>
                <w:rFonts w:hint="eastAsia"/>
              </w:rPr>
              <w:t>有库存，无建设移交、采购记录，[实物信息与现编码信息一致]，[实物信息与拟修订编码一致]，[实物信息与现编码信息、拟修订编码信息均不一致]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700" w:type="dxa"/>
          </w:tcPr>
          <w:p>
            <w:pPr>
              <w:spacing w:line="560" w:lineRule="exact"/>
              <w:rPr>
                <w:rFonts w:ascii="Times New Roman" w:hAnsi="Times New Roman" w:eastAsia="仿宋_GB2312" w:cs="Times New Roman"/>
                <w:sz w:val="20"/>
                <w:szCs w:val="20"/>
              </w:rPr>
            </w:pPr>
            <w:r>
              <w:rPr>
                <w:rFonts w:hint="eastAsia" w:ascii="Times New Roman" w:hAnsi="Times New Roman" w:eastAsia="仿宋_GB2312" w:cs="Times New Roman"/>
                <w:sz w:val="20"/>
                <w:szCs w:val="20"/>
              </w:rPr>
              <w:t>6</w:t>
            </w:r>
          </w:p>
        </w:tc>
        <w:tc>
          <w:tcPr>
            <w:tcW w:w="7795" w:type="dxa"/>
          </w:tcPr>
          <w:p>
            <w:pPr>
              <w:spacing w:line="300" w:lineRule="exact"/>
            </w:pPr>
            <w:r>
              <w:rPr>
                <w:rFonts w:hint="eastAsia"/>
              </w:rPr>
              <w:t>有库存、有采购记录，但无建设移交，[实物信息、采购信息均与现编码信息一致]，[或实物信息、采购信息均与拟修订编码信息一致]，[或实物信息与拟修订编码信息一致，采购信息与现编码信息一致]，[或实物信息与现编码信息一致，采购信息与拟修订编码信息一致]，或[实物信息、采购信息与现编码信息、拟修订编码信息均不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700" w:type="dxa"/>
          </w:tcPr>
          <w:p>
            <w:pPr>
              <w:spacing w:line="560" w:lineRule="exact"/>
              <w:rPr>
                <w:rFonts w:ascii="Times New Roman" w:hAnsi="Times New Roman" w:eastAsia="仿宋_GB2312" w:cs="Times New Roman"/>
                <w:sz w:val="20"/>
                <w:szCs w:val="20"/>
              </w:rPr>
            </w:pPr>
            <w:r>
              <w:rPr>
                <w:rFonts w:hint="eastAsia" w:ascii="Times New Roman" w:hAnsi="Times New Roman" w:eastAsia="仿宋_GB2312" w:cs="Times New Roman"/>
                <w:sz w:val="20"/>
                <w:szCs w:val="20"/>
              </w:rPr>
              <w:t>7</w:t>
            </w:r>
          </w:p>
        </w:tc>
        <w:tc>
          <w:tcPr>
            <w:tcW w:w="7795" w:type="dxa"/>
          </w:tcPr>
          <w:p>
            <w:pPr>
              <w:spacing w:line="300" w:lineRule="exact"/>
            </w:pPr>
            <w:r>
              <w:rPr>
                <w:rFonts w:hint="eastAsia"/>
              </w:rPr>
              <w:t>有库存、有建设移交，但无采购记录，[实物信息、移交信息均与现编码信息一致]，[或实物信息、移交信息均与拟修订编码信息一致]，[或实物信息与拟修订编码信息一致，移交信息与现编码信息一致]，[或实物信息与现编码信息一致，移交信息与拟修订编码信息一致]，或[实物信息、移交信息与现编码信息、拟修订编码信息均不一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700" w:type="dxa"/>
          </w:tcPr>
          <w:p>
            <w:pPr>
              <w:spacing w:line="560" w:lineRule="exact"/>
              <w:rPr>
                <w:rFonts w:ascii="Times New Roman" w:hAnsi="Times New Roman" w:eastAsia="仿宋_GB2312" w:cs="Times New Roman"/>
                <w:sz w:val="20"/>
                <w:szCs w:val="20"/>
              </w:rPr>
            </w:pPr>
            <w:r>
              <w:rPr>
                <w:rFonts w:hint="eastAsia" w:ascii="Times New Roman" w:hAnsi="Times New Roman" w:eastAsia="仿宋_GB2312" w:cs="Times New Roman"/>
                <w:sz w:val="20"/>
                <w:szCs w:val="20"/>
              </w:rPr>
              <w:t>8</w:t>
            </w:r>
          </w:p>
        </w:tc>
        <w:tc>
          <w:tcPr>
            <w:tcW w:w="7795" w:type="dxa"/>
          </w:tcPr>
          <w:p>
            <w:pPr>
              <w:spacing w:line="300" w:lineRule="exact"/>
            </w:pPr>
            <w:r>
              <w:rPr>
                <w:rFonts w:hint="eastAsia"/>
              </w:rPr>
              <w:t>有库存、有建设移交、有采购记录，[实物信息、移交信息、采购信息均与现编码信息一致]、[或实物信息、移交信息、采购信息均与拟修订编码信息一致]、[或实物信息与现编码一致，移交信息、采购信息与拟修订编码一致]、[或实物信息与拟修订编码一致，移交信息、采购信息与现编码一致]、[或移交信息与现编码一致，实物信息、采购信息与拟修订编码一致]、[或移交信息与拟修订编码一致，实物信息、采购信息与现编码一致]、[或采购信息与现编码一致，移交信息、实物信息与拟修订编码一致]、[或采购信息与拟修订编码一致，移交信息、实物信息与现编码一致]、[或实物信息、移交信息与现编码一致，采购信息与拟修订编码一致]、[或实物信息、移交信息与拟修订编码一致，采购信息与现编码一致]、[或实物信息、移交信息、采购信息与现编码信息、拟修订编码信息均不一致]</w:t>
            </w:r>
          </w:p>
        </w:tc>
      </w:tr>
    </w:tbl>
    <w:p>
      <w:pPr>
        <w:spacing w:line="560" w:lineRule="exact"/>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4.2.</w:t>
      </w:r>
      <w:r>
        <w:rPr>
          <w:rFonts w:hint="eastAsia" w:ascii="Times New Roman" w:hAnsi="Times New Roman" w:eastAsia="仿宋_GB2312" w:cs="Times New Roman"/>
          <w:sz w:val="32"/>
          <w:szCs w:val="32"/>
        </w:rPr>
        <w:t>3物资管理部统计管理岗审核，物资编码是否关联采购信息（历史所有合同、采购订单），根据关联数据不同，对编码进行判定是否同意调整或沟通相关采购经办人确认是否可调整。无实质性变更的情况详见附件3。除以下变更情况外，还需考虑变更后的物资说明与其他编码不重复。</w:t>
      </w:r>
    </w:p>
    <w:tbl>
      <w:tblPr>
        <w:tblStyle w:val="10"/>
        <w:tblW w:w="9478" w:type="dxa"/>
        <w:jc w:val="center"/>
        <w:tblLayout w:type="autofit"/>
        <w:tblCellMar>
          <w:top w:w="0" w:type="dxa"/>
          <w:left w:w="108" w:type="dxa"/>
          <w:bottom w:w="0" w:type="dxa"/>
          <w:right w:w="108" w:type="dxa"/>
        </w:tblCellMar>
      </w:tblPr>
      <w:tblGrid>
        <w:gridCol w:w="552"/>
        <w:gridCol w:w="2212"/>
        <w:gridCol w:w="552"/>
        <w:gridCol w:w="2293"/>
        <w:gridCol w:w="2520"/>
        <w:gridCol w:w="1349"/>
      </w:tblGrid>
      <w:tr>
        <w:tblPrEx>
          <w:tblCellMar>
            <w:top w:w="0" w:type="dxa"/>
            <w:left w:w="108" w:type="dxa"/>
            <w:bottom w:w="0" w:type="dxa"/>
            <w:right w:w="108" w:type="dxa"/>
          </w:tblCellMar>
        </w:tblPrEx>
        <w:trPr>
          <w:trHeight w:val="510" w:hRule="atLeast"/>
          <w:jc w:val="center"/>
        </w:trPr>
        <w:tc>
          <w:tcPr>
            <w:tcW w:w="2764"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b/>
                <w:bCs/>
                <w:color w:val="000000"/>
                <w:sz w:val="22"/>
                <w:szCs w:val="22"/>
              </w:rPr>
            </w:pPr>
            <w:r>
              <w:rPr>
                <w:rFonts w:hint="eastAsia" w:ascii="宋体" w:hAnsi="宋体" w:eastAsia="宋体" w:cs="宋体"/>
                <w:b/>
                <w:bCs/>
                <w:color w:val="000000"/>
                <w:kern w:val="0"/>
                <w:sz w:val="22"/>
                <w:szCs w:val="22"/>
                <w:lang w:bidi="ar"/>
              </w:rPr>
              <w:t>有无采购记录（建设移交单、采购订单/合同）</w:t>
            </w:r>
          </w:p>
        </w:tc>
        <w:tc>
          <w:tcPr>
            <w:tcW w:w="2845"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b/>
                <w:bCs/>
                <w:color w:val="000000"/>
                <w:sz w:val="22"/>
                <w:szCs w:val="22"/>
              </w:rPr>
            </w:pPr>
            <w:r>
              <w:rPr>
                <w:rFonts w:hint="eastAsia" w:ascii="宋体" w:hAnsi="宋体" w:eastAsia="宋体" w:cs="宋体"/>
                <w:b/>
                <w:bCs/>
                <w:color w:val="000000"/>
                <w:kern w:val="0"/>
                <w:sz w:val="22"/>
                <w:szCs w:val="22"/>
                <w:lang w:bidi="ar"/>
              </w:rPr>
              <w:t>有无库存</w:t>
            </w:r>
          </w:p>
        </w:tc>
        <w:tc>
          <w:tcPr>
            <w:tcW w:w="252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b/>
                <w:bCs/>
                <w:color w:val="000000"/>
                <w:szCs w:val="21"/>
              </w:rPr>
            </w:pPr>
            <w:r>
              <w:rPr>
                <w:rFonts w:hint="eastAsia" w:ascii="宋体" w:hAnsi="宋体" w:eastAsia="宋体" w:cs="宋体"/>
                <w:b/>
                <w:bCs/>
                <w:color w:val="000000"/>
                <w:kern w:val="0"/>
                <w:szCs w:val="21"/>
                <w:lang w:bidi="ar"/>
              </w:rPr>
              <w:t>物资说明有实质性变化</w:t>
            </w:r>
          </w:p>
        </w:tc>
        <w:tc>
          <w:tcPr>
            <w:tcW w:w="134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b/>
                <w:bCs/>
                <w:color w:val="000000"/>
                <w:szCs w:val="21"/>
              </w:rPr>
            </w:pPr>
            <w:r>
              <w:rPr>
                <w:rFonts w:hint="eastAsia" w:ascii="宋体" w:hAnsi="宋体" w:eastAsia="宋体" w:cs="宋体"/>
                <w:b/>
                <w:bCs/>
                <w:color w:val="000000"/>
                <w:kern w:val="0"/>
                <w:szCs w:val="21"/>
                <w:lang w:bidi="ar"/>
              </w:rPr>
              <w:t>物资说明无实质性变化</w:t>
            </w:r>
          </w:p>
        </w:tc>
      </w:tr>
      <w:tr>
        <w:tblPrEx>
          <w:tblCellMar>
            <w:top w:w="0" w:type="dxa"/>
            <w:left w:w="108" w:type="dxa"/>
            <w:bottom w:w="0" w:type="dxa"/>
            <w:right w:w="108" w:type="dxa"/>
          </w:tblCellMar>
        </w:tblPrEx>
        <w:trPr>
          <w:trHeight w:val="270" w:hRule="atLeast"/>
          <w:jc w:val="center"/>
        </w:trPr>
        <w:tc>
          <w:tcPr>
            <w:tcW w:w="2764" w:type="dxa"/>
            <w:gridSpan w:val="2"/>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无</w:t>
            </w:r>
          </w:p>
        </w:tc>
        <w:tc>
          <w:tcPr>
            <w:tcW w:w="2845"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无</w:t>
            </w:r>
          </w:p>
        </w:tc>
        <w:tc>
          <w:tcPr>
            <w:tcW w:w="252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同意修订</w:t>
            </w:r>
          </w:p>
        </w:tc>
        <w:tc>
          <w:tcPr>
            <w:tcW w:w="134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同意修订</w:t>
            </w:r>
          </w:p>
        </w:tc>
      </w:tr>
      <w:tr>
        <w:tblPrEx>
          <w:tblCellMar>
            <w:top w:w="0" w:type="dxa"/>
            <w:left w:w="108" w:type="dxa"/>
            <w:bottom w:w="0" w:type="dxa"/>
            <w:right w:w="108" w:type="dxa"/>
          </w:tblCellMar>
        </w:tblPrEx>
        <w:trPr>
          <w:trHeight w:val="540" w:hRule="atLeast"/>
          <w:jc w:val="center"/>
        </w:trPr>
        <w:tc>
          <w:tcPr>
            <w:tcW w:w="2764"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ascii="宋体" w:hAnsi="宋体" w:eastAsia="宋体" w:cs="宋体"/>
                <w:color w:val="000000"/>
                <w:sz w:val="22"/>
                <w:szCs w:val="22"/>
              </w:rPr>
            </w:pPr>
          </w:p>
        </w:tc>
        <w:tc>
          <w:tcPr>
            <w:tcW w:w="552"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有</w:t>
            </w:r>
          </w:p>
        </w:tc>
        <w:tc>
          <w:tcPr>
            <w:tcW w:w="229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现物资说明与实物信息不一致</w:t>
            </w:r>
          </w:p>
        </w:tc>
        <w:tc>
          <w:tcPr>
            <w:tcW w:w="252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同意修订与实物保持一致（应核实来源）</w:t>
            </w:r>
          </w:p>
        </w:tc>
        <w:tc>
          <w:tcPr>
            <w:tcW w:w="134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同意修订</w:t>
            </w:r>
          </w:p>
        </w:tc>
      </w:tr>
      <w:tr>
        <w:tblPrEx>
          <w:tblCellMar>
            <w:top w:w="0" w:type="dxa"/>
            <w:left w:w="108" w:type="dxa"/>
            <w:bottom w:w="0" w:type="dxa"/>
            <w:right w:w="108" w:type="dxa"/>
          </w:tblCellMar>
        </w:tblPrEx>
        <w:trPr>
          <w:trHeight w:val="540" w:hRule="atLeast"/>
          <w:jc w:val="center"/>
        </w:trPr>
        <w:tc>
          <w:tcPr>
            <w:tcW w:w="2764"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ascii="宋体" w:hAnsi="宋体" w:eastAsia="宋体" w:cs="宋体"/>
                <w:color w:val="000000"/>
                <w:sz w:val="22"/>
                <w:szCs w:val="22"/>
              </w:rPr>
            </w:pPr>
          </w:p>
        </w:tc>
        <w:tc>
          <w:tcPr>
            <w:tcW w:w="55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ascii="宋体" w:hAnsi="宋体" w:eastAsia="宋体" w:cs="宋体"/>
                <w:color w:val="000000"/>
                <w:sz w:val="22"/>
                <w:szCs w:val="22"/>
              </w:rPr>
            </w:pPr>
          </w:p>
        </w:tc>
        <w:tc>
          <w:tcPr>
            <w:tcW w:w="229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现物资说明与实物信息一致</w:t>
            </w:r>
          </w:p>
        </w:tc>
        <w:tc>
          <w:tcPr>
            <w:tcW w:w="252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不同意修订（应重新申请编码）</w:t>
            </w:r>
          </w:p>
        </w:tc>
        <w:tc>
          <w:tcPr>
            <w:tcW w:w="134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同意修订</w:t>
            </w:r>
          </w:p>
        </w:tc>
      </w:tr>
      <w:tr>
        <w:tblPrEx>
          <w:tblCellMar>
            <w:top w:w="0" w:type="dxa"/>
            <w:left w:w="108" w:type="dxa"/>
            <w:bottom w:w="0" w:type="dxa"/>
            <w:right w:w="108" w:type="dxa"/>
          </w:tblCellMar>
        </w:tblPrEx>
        <w:trPr>
          <w:trHeight w:val="540" w:hRule="atLeast"/>
          <w:jc w:val="center"/>
        </w:trPr>
        <w:tc>
          <w:tcPr>
            <w:tcW w:w="552"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有</w:t>
            </w:r>
          </w:p>
        </w:tc>
        <w:tc>
          <w:tcPr>
            <w:tcW w:w="2212"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现物资说明与采购记录不一致</w:t>
            </w:r>
          </w:p>
        </w:tc>
        <w:tc>
          <w:tcPr>
            <w:tcW w:w="552"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无</w:t>
            </w:r>
          </w:p>
        </w:tc>
        <w:tc>
          <w:tcPr>
            <w:tcW w:w="2293"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ascii="宋体" w:hAnsi="宋体" w:eastAsia="宋体" w:cs="宋体"/>
                <w:color w:val="000000"/>
                <w:sz w:val="22"/>
                <w:szCs w:val="22"/>
              </w:rPr>
            </w:pPr>
          </w:p>
        </w:tc>
        <w:tc>
          <w:tcPr>
            <w:tcW w:w="252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同意修订与采购记录保持一致</w:t>
            </w:r>
          </w:p>
        </w:tc>
        <w:tc>
          <w:tcPr>
            <w:tcW w:w="134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同意修订</w:t>
            </w:r>
          </w:p>
        </w:tc>
      </w:tr>
      <w:tr>
        <w:tblPrEx>
          <w:tblCellMar>
            <w:top w:w="0" w:type="dxa"/>
            <w:left w:w="108" w:type="dxa"/>
            <w:bottom w:w="0" w:type="dxa"/>
            <w:right w:w="108" w:type="dxa"/>
          </w:tblCellMar>
        </w:tblPrEx>
        <w:trPr>
          <w:trHeight w:val="540" w:hRule="atLeast"/>
          <w:jc w:val="center"/>
        </w:trPr>
        <w:tc>
          <w:tcPr>
            <w:tcW w:w="55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ascii="宋体" w:hAnsi="宋体" w:eastAsia="宋体" w:cs="宋体"/>
                <w:color w:val="000000"/>
                <w:sz w:val="22"/>
                <w:szCs w:val="22"/>
              </w:rPr>
            </w:pPr>
          </w:p>
        </w:tc>
        <w:tc>
          <w:tcPr>
            <w:tcW w:w="221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ascii="宋体" w:hAnsi="宋体" w:eastAsia="宋体" w:cs="宋体"/>
                <w:color w:val="000000"/>
                <w:sz w:val="22"/>
                <w:szCs w:val="22"/>
              </w:rPr>
            </w:pPr>
          </w:p>
        </w:tc>
        <w:tc>
          <w:tcPr>
            <w:tcW w:w="552"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有</w:t>
            </w:r>
          </w:p>
        </w:tc>
        <w:tc>
          <w:tcPr>
            <w:tcW w:w="229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现物资说明与实物信息不一致</w:t>
            </w:r>
          </w:p>
        </w:tc>
        <w:tc>
          <w:tcPr>
            <w:tcW w:w="252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同意修订与采购记录、实物保持一致</w:t>
            </w:r>
          </w:p>
        </w:tc>
        <w:tc>
          <w:tcPr>
            <w:tcW w:w="134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同意修订</w:t>
            </w:r>
          </w:p>
        </w:tc>
      </w:tr>
      <w:tr>
        <w:tblPrEx>
          <w:tblCellMar>
            <w:top w:w="0" w:type="dxa"/>
            <w:left w:w="108" w:type="dxa"/>
            <w:bottom w:w="0" w:type="dxa"/>
            <w:right w:w="108" w:type="dxa"/>
          </w:tblCellMar>
        </w:tblPrEx>
        <w:trPr>
          <w:trHeight w:val="810" w:hRule="atLeast"/>
          <w:jc w:val="center"/>
        </w:trPr>
        <w:tc>
          <w:tcPr>
            <w:tcW w:w="55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ascii="宋体" w:hAnsi="宋体" w:eastAsia="宋体" w:cs="宋体"/>
                <w:color w:val="000000"/>
                <w:sz w:val="22"/>
                <w:szCs w:val="22"/>
              </w:rPr>
            </w:pPr>
          </w:p>
        </w:tc>
        <w:tc>
          <w:tcPr>
            <w:tcW w:w="221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ascii="宋体" w:hAnsi="宋体" w:eastAsia="宋体" w:cs="宋体"/>
                <w:color w:val="000000"/>
                <w:sz w:val="22"/>
                <w:szCs w:val="22"/>
              </w:rPr>
            </w:pPr>
          </w:p>
        </w:tc>
        <w:tc>
          <w:tcPr>
            <w:tcW w:w="55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ascii="宋体" w:hAnsi="宋体" w:eastAsia="宋体" w:cs="宋体"/>
                <w:color w:val="000000"/>
                <w:sz w:val="22"/>
                <w:szCs w:val="22"/>
              </w:rPr>
            </w:pPr>
          </w:p>
        </w:tc>
        <w:tc>
          <w:tcPr>
            <w:tcW w:w="229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现物资说明与实物信息一致</w:t>
            </w:r>
          </w:p>
        </w:tc>
        <w:tc>
          <w:tcPr>
            <w:tcW w:w="252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同意修订与采购记录、实物保持一致（实物应退库换货）</w:t>
            </w:r>
          </w:p>
        </w:tc>
        <w:tc>
          <w:tcPr>
            <w:tcW w:w="134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同意修订</w:t>
            </w:r>
          </w:p>
        </w:tc>
      </w:tr>
      <w:tr>
        <w:tblPrEx>
          <w:tblCellMar>
            <w:top w:w="0" w:type="dxa"/>
            <w:left w:w="108" w:type="dxa"/>
            <w:bottom w:w="0" w:type="dxa"/>
            <w:right w:w="108" w:type="dxa"/>
          </w:tblCellMar>
        </w:tblPrEx>
        <w:trPr>
          <w:trHeight w:val="540" w:hRule="atLeast"/>
          <w:jc w:val="center"/>
        </w:trPr>
        <w:tc>
          <w:tcPr>
            <w:tcW w:w="55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ascii="宋体" w:hAnsi="宋体" w:eastAsia="宋体" w:cs="宋体"/>
                <w:color w:val="000000"/>
                <w:sz w:val="22"/>
                <w:szCs w:val="22"/>
              </w:rPr>
            </w:pPr>
          </w:p>
        </w:tc>
        <w:tc>
          <w:tcPr>
            <w:tcW w:w="2212"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现物资说明与采购记录一致</w:t>
            </w:r>
          </w:p>
        </w:tc>
        <w:tc>
          <w:tcPr>
            <w:tcW w:w="552"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无</w:t>
            </w:r>
          </w:p>
        </w:tc>
        <w:tc>
          <w:tcPr>
            <w:tcW w:w="2293"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ascii="宋体" w:hAnsi="宋体" w:eastAsia="宋体" w:cs="宋体"/>
                <w:color w:val="000000"/>
                <w:sz w:val="22"/>
                <w:szCs w:val="22"/>
              </w:rPr>
            </w:pPr>
          </w:p>
        </w:tc>
        <w:tc>
          <w:tcPr>
            <w:tcW w:w="252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不同意修订（应重新申请编码）</w:t>
            </w:r>
          </w:p>
        </w:tc>
        <w:tc>
          <w:tcPr>
            <w:tcW w:w="134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同意修订</w:t>
            </w:r>
          </w:p>
        </w:tc>
      </w:tr>
      <w:tr>
        <w:tblPrEx>
          <w:tblCellMar>
            <w:top w:w="0" w:type="dxa"/>
            <w:left w:w="108" w:type="dxa"/>
            <w:bottom w:w="0" w:type="dxa"/>
            <w:right w:w="108" w:type="dxa"/>
          </w:tblCellMar>
        </w:tblPrEx>
        <w:trPr>
          <w:trHeight w:val="540" w:hRule="atLeast"/>
          <w:jc w:val="center"/>
        </w:trPr>
        <w:tc>
          <w:tcPr>
            <w:tcW w:w="55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ascii="宋体" w:hAnsi="宋体" w:eastAsia="宋体" w:cs="宋体"/>
                <w:color w:val="000000"/>
                <w:sz w:val="22"/>
                <w:szCs w:val="22"/>
              </w:rPr>
            </w:pPr>
          </w:p>
        </w:tc>
        <w:tc>
          <w:tcPr>
            <w:tcW w:w="221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ascii="宋体" w:hAnsi="宋体" w:eastAsia="宋体" w:cs="宋体"/>
                <w:color w:val="000000"/>
                <w:sz w:val="22"/>
                <w:szCs w:val="22"/>
              </w:rPr>
            </w:pPr>
          </w:p>
        </w:tc>
        <w:tc>
          <w:tcPr>
            <w:tcW w:w="552"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有</w:t>
            </w:r>
          </w:p>
        </w:tc>
        <w:tc>
          <w:tcPr>
            <w:tcW w:w="229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现物资说明与实物信息不一致</w:t>
            </w:r>
          </w:p>
        </w:tc>
        <w:tc>
          <w:tcPr>
            <w:tcW w:w="252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不同意修订（实物应退库换货）</w:t>
            </w:r>
          </w:p>
        </w:tc>
        <w:tc>
          <w:tcPr>
            <w:tcW w:w="134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同意修订</w:t>
            </w:r>
          </w:p>
        </w:tc>
      </w:tr>
      <w:tr>
        <w:tblPrEx>
          <w:tblCellMar>
            <w:top w:w="0" w:type="dxa"/>
            <w:left w:w="108" w:type="dxa"/>
            <w:bottom w:w="0" w:type="dxa"/>
            <w:right w:w="108" w:type="dxa"/>
          </w:tblCellMar>
        </w:tblPrEx>
        <w:trPr>
          <w:trHeight w:val="540" w:hRule="atLeast"/>
          <w:jc w:val="center"/>
        </w:trPr>
        <w:tc>
          <w:tcPr>
            <w:tcW w:w="55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ascii="宋体" w:hAnsi="宋体" w:eastAsia="宋体" w:cs="宋体"/>
                <w:color w:val="000000"/>
                <w:sz w:val="22"/>
                <w:szCs w:val="22"/>
              </w:rPr>
            </w:pPr>
          </w:p>
        </w:tc>
        <w:tc>
          <w:tcPr>
            <w:tcW w:w="221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ascii="宋体" w:hAnsi="宋体" w:eastAsia="宋体" w:cs="宋体"/>
                <w:color w:val="000000"/>
                <w:sz w:val="22"/>
                <w:szCs w:val="22"/>
              </w:rPr>
            </w:pPr>
          </w:p>
        </w:tc>
        <w:tc>
          <w:tcPr>
            <w:tcW w:w="552"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有</w:t>
            </w:r>
          </w:p>
        </w:tc>
        <w:tc>
          <w:tcPr>
            <w:tcW w:w="2293"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现物资说明与实物信息一致</w:t>
            </w:r>
          </w:p>
        </w:tc>
        <w:tc>
          <w:tcPr>
            <w:tcW w:w="252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不同意修订（应重新申请编码）</w:t>
            </w:r>
          </w:p>
        </w:tc>
        <w:tc>
          <w:tcPr>
            <w:tcW w:w="134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color w:val="000000"/>
                <w:sz w:val="22"/>
                <w:szCs w:val="22"/>
              </w:rPr>
            </w:pPr>
            <w:r>
              <w:rPr>
                <w:rFonts w:hint="eastAsia" w:ascii="宋体" w:hAnsi="宋体" w:eastAsia="宋体" w:cs="宋体"/>
                <w:color w:val="000000"/>
                <w:kern w:val="0"/>
                <w:sz w:val="22"/>
                <w:szCs w:val="22"/>
                <w:lang w:bidi="ar"/>
              </w:rPr>
              <w:t>同意修订</w:t>
            </w:r>
          </w:p>
        </w:tc>
      </w:tr>
    </w:tbl>
    <w:p>
      <w:pPr>
        <w:spacing w:line="560" w:lineRule="exact"/>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如无实质性变更，则无需沟通供建中心计量检测岗和财务部资产管理岗审核。</w:t>
      </w:r>
    </w:p>
    <w:p>
      <w:pPr>
        <w:spacing w:line="560" w:lineRule="exact"/>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如有实质性变更，则沟通供建中心计量检测岗审核调整后的物资说明对应实物是否需要计量。财务部资产管理岗审核调整后的物资说明对应的资产属性是否需要修改。</w:t>
      </w:r>
    </w:p>
    <w:p>
      <w:pPr>
        <w:spacing w:line="560" w:lineRule="exact"/>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如果需要修改资产分类，则需要重新提交编码修订申请单（目前编码调整单不支持修改资产分类）。</w:t>
      </w:r>
    </w:p>
    <w:p>
      <w:pPr>
        <w:spacing w:line="560" w:lineRule="exact"/>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如果不需要修改资产分类，需要审核编码格式与资产标识是否相符，如果编码格式为“</w:t>
      </w:r>
      <w:r>
        <w:rPr>
          <w:rFonts w:ascii="Times New Roman" w:hAnsi="Times New Roman" w:eastAsia="仿宋_GB2312" w:cs="Times New Roman"/>
          <w:sz w:val="32"/>
          <w:szCs w:val="32"/>
        </w:rPr>
        <w:t>11</w:t>
      </w:r>
      <w:r>
        <w:rPr>
          <w:rFonts w:hint="eastAsia" w:ascii="Times New Roman" w:hAnsi="Times New Roman" w:eastAsia="仿宋_GB2312" w:cs="Times New Roman"/>
          <w:sz w:val="32"/>
          <w:szCs w:val="32"/>
        </w:rPr>
        <w:t>位”库存编码，则资产标识必须为库存物资，匹配至非库存物资的资产分类后，需要驳回重新申请物资编码。</w:t>
      </w:r>
    </w:p>
    <w:p>
      <w:pPr>
        <w:spacing w:line="560" w:lineRule="exact"/>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4.2.</w:t>
      </w:r>
      <w:r>
        <w:rPr>
          <w:rFonts w:hint="eastAsia" w:ascii="Times New Roman" w:hAnsi="Times New Roman" w:eastAsia="仿宋_GB2312" w:cs="Times New Roman"/>
          <w:sz w:val="32"/>
          <w:szCs w:val="32"/>
        </w:rPr>
        <w:t>4停用的编码如关联有当年采购计划未执行，沟通对应需求部门，要求其澄清为新编码后才可停用编码。</w:t>
      </w:r>
    </w:p>
    <w:p>
      <w:pPr>
        <w:spacing w:line="560" w:lineRule="exact"/>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4.2.</w:t>
      </w:r>
      <w:r>
        <w:rPr>
          <w:rFonts w:hint="eastAsia" w:ascii="Times New Roman" w:hAnsi="Times New Roman" w:eastAsia="仿宋_GB2312" w:cs="Times New Roman"/>
          <w:sz w:val="32"/>
          <w:szCs w:val="32"/>
        </w:rPr>
        <w:t>5预算指导价修订，如有历史合同，原则上以历史合同价为调整依据。</w:t>
      </w:r>
    </w:p>
    <w:p>
      <w:pPr>
        <w:spacing w:line="560" w:lineRule="exact"/>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4.2.</w:t>
      </w:r>
      <w:r>
        <w:rPr>
          <w:rFonts w:hint="eastAsia" w:ascii="Times New Roman" w:hAnsi="Times New Roman" w:eastAsia="仿宋_GB2312" w:cs="Times New Roman"/>
          <w:sz w:val="32"/>
          <w:szCs w:val="32"/>
        </w:rPr>
        <w:t>6不同意调整时，需求部门需要针对需求重新申请编码，如原编码物资说明停产、型号升级、参数存在问题等原因不能再使用，需要停用对应的编码。</w:t>
      </w:r>
    </w:p>
    <w:p>
      <w:pPr>
        <w:spacing w:line="560" w:lineRule="exact"/>
        <w:ind w:firstLine="640" w:firstLineChars="200"/>
        <w:rPr>
          <w:rFonts w:eastAsia="仿宋_GB2312"/>
        </w:rPr>
      </w:pPr>
      <w:r>
        <w:rPr>
          <w:rFonts w:ascii="Times New Roman" w:hAnsi="Times New Roman" w:eastAsia="仿宋_GB2312" w:cs="Times New Roman"/>
          <w:sz w:val="32"/>
          <w:szCs w:val="32"/>
        </w:rPr>
        <w:t>4.2.</w:t>
      </w:r>
      <w:r>
        <w:rPr>
          <w:rFonts w:hint="eastAsia" w:ascii="Times New Roman" w:hAnsi="Times New Roman" w:eastAsia="仿宋_GB2312" w:cs="Times New Roman"/>
          <w:sz w:val="32"/>
          <w:szCs w:val="32"/>
        </w:rPr>
        <w:t>7修订后的物资说明不能与编码库内已有编码重复，造成一物多码，如修订后的物资说明与其他编码重复，根据现有合同、库存情况判定，停用其中一项编码，仅保留一项在用编码。</w:t>
      </w:r>
    </w:p>
    <w:p>
      <w:pPr>
        <w:spacing w:line="560" w:lineRule="exact"/>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5.</w:t>
      </w:r>
      <w:r>
        <w:rPr>
          <w:rFonts w:hint="eastAsia" w:ascii="Times New Roman" w:hAnsi="Times New Roman" w:eastAsia="仿宋_GB2312" w:cs="Times New Roman"/>
          <w:sz w:val="32"/>
          <w:szCs w:val="32"/>
        </w:rPr>
        <w:t>编码修订申请单（后续与</w:t>
      </w:r>
      <w:r>
        <w:rPr>
          <w:rFonts w:ascii="Times New Roman" w:hAnsi="Times New Roman" w:eastAsia="仿宋_GB2312" w:cs="Times New Roman"/>
          <w:sz w:val="32"/>
          <w:szCs w:val="32"/>
        </w:rPr>
        <w:t>4.</w:t>
      </w:r>
      <w:r>
        <w:rPr>
          <w:rFonts w:hint="eastAsia" w:ascii="Times New Roman" w:hAnsi="Times New Roman" w:eastAsia="仿宋_GB2312" w:cs="Times New Roman"/>
          <w:sz w:val="32"/>
          <w:szCs w:val="32"/>
        </w:rPr>
        <w:t>编码调整单功能进行整合，取消）</w:t>
      </w:r>
    </w:p>
    <w:p>
      <w:pPr>
        <w:spacing w:line="560" w:lineRule="exact"/>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编码修订单可进行资产分类调整，以及涉及资产分类调整的编码启用、物资说明修订、预算指导价修订。</w:t>
      </w:r>
    </w:p>
    <w:p>
      <w:pPr>
        <w:spacing w:line="560" w:lineRule="exact"/>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5.1</w:t>
      </w:r>
      <w:r>
        <w:rPr>
          <w:rFonts w:hint="eastAsia" w:ascii="Times New Roman" w:hAnsi="Times New Roman" w:eastAsia="仿宋_GB2312" w:cs="Times New Roman"/>
          <w:sz w:val="32"/>
          <w:szCs w:val="32"/>
        </w:rPr>
        <w:t>编码修订申请单创建</w:t>
      </w:r>
    </w:p>
    <w:p>
      <w:pPr>
        <w:spacing w:line="560" w:lineRule="exact"/>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5.1.1</w:t>
      </w:r>
      <w:r>
        <w:rPr>
          <w:rFonts w:hint="eastAsia" w:ascii="Times New Roman" w:hAnsi="Times New Roman" w:eastAsia="仿宋_GB2312" w:cs="Times New Roman"/>
          <w:sz w:val="32"/>
          <w:szCs w:val="32"/>
        </w:rPr>
        <w:t>申请人在</w:t>
      </w:r>
      <w:r>
        <w:rPr>
          <w:rFonts w:ascii="Times New Roman" w:hAnsi="Times New Roman" w:eastAsia="仿宋_GB2312" w:cs="Times New Roman"/>
          <w:sz w:val="32"/>
          <w:szCs w:val="32"/>
        </w:rPr>
        <w:t>OA</w:t>
      </w:r>
      <w:r>
        <w:rPr>
          <w:rFonts w:hint="eastAsia" w:ascii="Times New Roman" w:hAnsi="Times New Roman" w:eastAsia="仿宋_GB2312" w:cs="Times New Roman"/>
          <w:sz w:val="32"/>
          <w:szCs w:val="32"/>
        </w:rPr>
        <w:t>创建单据后，需要填写【申请部门】、【申请部门经办人员】（部门物资员）、【审核部门经办人员】（物资管理部统计管理岗）、【申请说明】，申请说明处需要备注修订原因。</w:t>
      </w:r>
    </w:p>
    <w:p>
      <w:pPr>
        <w:spacing w:line="560" w:lineRule="exact"/>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5.1.2</w:t>
      </w:r>
      <w:r>
        <w:rPr>
          <w:rFonts w:hint="eastAsia" w:ascii="Times New Roman" w:hAnsi="Times New Roman" w:eastAsia="仿宋_GB2312" w:cs="Times New Roman"/>
          <w:sz w:val="32"/>
          <w:szCs w:val="32"/>
        </w:rPr>
        <w:t>上传附件：物资编码修订申请表（详见附件4）。</w:t>
      </w:r>
    </w:p>
    <w:p>
      <w:pPr>
        <w:spacing w:line="560" w:lineRule="exact"/>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5.1.3</w:t>
      </w:r>
      <w:r>
        <w:rPr>
          <w:rFonts w:hint="eastAsia" w:ascii="Times New Roman" w:hAnsi="Times New Roman" w:eastAsia="仿宋_GB2312" w:cs="Times New Roman"/>
          <w:sz w:val="32"/>
          <w:szCs w:val="32"/>
        </w:rPr>
        <w:t>如涉及物资说明调整的，需要上传附件</w:t>
      </w:r>
      <w:r>
        <w:rPr>
          <w:rFonts w:ascii="Times New Roman" w:hAnsi="Times New Roman" w:eastAsia="仿宋_GB2312" w:cs="Times New Roman"/>
          <w:sz w:val="32"/>
          <w:szCs w:val="32"/>
        </w:rPr>
        <w:t>2</w:t>
      </w:r>
      <w:r>
        <w:rPr>
          <w:rFonts w:hint="eastAsia" w:ascii="Times New Roman" w:hAnsi="Times New Roman" w:eastAsia="仿宋_GB2312" w:cs="Times New Roman"/>
          <w:sz w:val="32"/>
          <w:szCs w:val="32"/>
        </w:rPr>
        <w:t>编码申请/修订自查问题表。</w:t>
      </w:r>
    </w:p>
    <w:p>
      <w:pPr>
        <w:spacing w:line="560" w:lineRule="exact"/>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5.1.4</w:t>
      </w:r>
      <w:r>
        <w:rPr>
          <w:rFonts w:hint="eastAsia" w:ascii="Times New Roman" w:hAnsi="Times New Roman" w:eastAsia="仿宋_GB2312" w:cs="Times New Roman"/>
          <w:sz w:val="32"/>
          <w:szCs w:val="32"/>
        </w:rPr>
        <w:t>表格数据填写完整并上传后，推送部门物资员环节审核。</w:t>
      </w:r>
    </w:p>
    <w:p>
      <w:pPr>
        <w:spacing w:line="560" w:lineRule="exact"/>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5.2</w:t>
      </w:r>
      <w:r>
        <w:rPr>
          <w:rFonts w:hint="eastAsia" w:ascii="Times New Roman" w:hAnsi="Times New Roman" w:eastAsia="仿宋_GB2312" w:cs="Times New Roman"/>
          <w:sz w:val="32"/>
          <w:szCs w:val="32"/>
        </w:rPr>
        <w:t>编码修订申请单审批</w:t>
      </w:r>
    </w:p>
    <w:p>
      <w:pPr>
        <w:spacing w:line="560" w:lineRule="exact"/>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5.2.</w:t>
      </w:r>
      <w:r>
        <w:rPr>
          <w:rFonts w:hint="eastAsia" w:ascii="Times New Roman" w:hAnsi="Times New Roman" w:eastAsia="仿宋_GB2312" w:cs="Times New Roman"/>
          <w:sz w:val="32"/>
          <w:szCs w:val="32"/>
        </w:rPr>
        <w:t>1物资管理部统计管理岗沟通物资管理部库存管理岗审核，如启用、修改资产分类的同时，还存在物资说明修订，需核实修订后描述与库存实物是否相符，修改资产分类后资产标识是否改变；沟通财务部资产管理岗审核修改后资产分类是否正确；</w:t>
      </w:r>
    </w:p>
    <w:p>
      <w:pPr>
        <w:spacing w:line="560" w:lineRule="exact"/>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5.2.</w:t>
      </w:r>
      <w:r>
        <w:rPr>
          <w:rFonts w:hint="eastAsia" w:ascii="Times New Roman" w:hAnsi="Times New Roman" w:eastAsia="仿宋_GB2312" w:cs="Times New Roman"/>
          <w:sz w:val="32"/>
          <w:szCs w:val="32"/>
        </w:rPr>
        <w:t>2物资管理部统计管理岗审核以下问题。</w:t>
      </w:r>
    </w:p>
    <w:p>
      <w:pPr>
        <w:spacing w:line="560" w:lineRule="exact"/>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5.2.</w:t>
      </w:r>
      <w:r>
        <w:rPr>
          <w:rFonts w:hint="eastAsia" w:ascii="Times New Roman" w:hAnsi="Times New Roman" w:eastAsia="仿宋_GB2312" w:cs="Times New Roman"/>
          <w:sz w:val="32"/>
          <w:szCs w:val="32"/>
        </w:rPr>
        <w:t>2</w:t>
      </w:r>
      <w:r>
        <w:rPr>
          <w:rFonts w:ascii="Times New Roman" w:hAnsi="Times New Roman" w:eastAsia="仿宋_GB2312" w:cs="Times New Roman"/>
          <w:sz w:val="32"/>
          <w:szCs w:val="32"/>
        </w:rPr>
        <w:t>.1</w:t>
      </w:r>
      <w:r>
        <w:rPr>
          <w:rFonts w:hint="eastAsia" w:ascii="Times New Roman" w:hAnsi="Times New Roman" w:eastAsia="仿宋_GB2312" w:cs="Times New Roman"/>
          <w:sz w:val="32"/>
          <w:szCs w:val="32"/>
        </w:rPr>
        <w:t>如启用、修改资产分类的同时还涉及物资说明，审核要求同</w:t>
      </w:r>
      <w:r>
        <w:rPr>
          <w:rFonts w:ascii="Times New Roman" w:hAnsi="Times New Roman" w:eastAsia="仿宋_GB2312" w:cs="Times New Roman"/>
          <w:sz w:val="32"/>
          <w:szCs w:val="32"/>
        </w:rPr>
        <w:t>4.2</w:t>
      </w:r>
      <w:r>
        <w:rPr>
          <w:rFonts w:hint="eastAsia" w:ascii="Times New Roman" w:hAnsi="Times New Roman" w:eastAsia="仿宋_GB2312" w:cs="Times New Roman"/>
          <w:sz w:val="32"/>
          <w:szCs w:val="32"/>
        </w:rPr>
        <w:t>编码调整单审批。</w:t>
      </w:r>
    </w:p>
    <w:p>
      <w:pPr>
        <w:spacing w:line="560" w:lineRule="exact"/>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5.2.</w:t>
      </w:r>
      <w:r>
        <w:rPr>
          <w:rFonts w:hint="eastAsia" w:ascii="Times New Roman" w:hAnsi="Times New Roman" w:eastAsia="仿宋_GB2312" w:cs="Times New Roman"/>
          <w:sz w:val="32"/>
          <w:szCs w:val="32"/>
        </w:rPr>
        <w:t>2</w:t>
      </w:r>
      <w:r>
        <w:rPr>
          <w:rFonts w:ascii="Times New Roman" w:hAnsi="Times New Roman" w:eastAsia="仿宋_GB2312" w:cs="Times New Roman"/>
          <w:sz w:val="32"/>
          <w:szCs w:val="32"/>
        </w:rPr>
        <w:t>.2</w:t>
      </w:r>
      <w:r>
        <w:rPr>
          <w:rFonts w:hint="eastAsia" w:ascii="Times New Roman" w:hAnsi="Times New Roman" w:eastAsia="仿宋_GB2312" w:cs="Times New Roman"/>
          <w:sz w:val="32"/>
          <w:szCs w:val="32"/>
        </w:rPr>
        <w:t>因资产标识非库存物资，需要长短码配套使用，故启用或修改资产分类后物资编码的资产标识与编码格式不符合时，需要驳回重新申请编码。</w:t>
      </w:r>
    </w:p>
    <w:p>
      <w:pPr>
        <w:spacing w:line="560" w:lineRule="exact"/>
        <w:ind w:firstLine="640" w:firstLineChars="200"/>
        <w:rPr>
          <w:rFonts w:ascii="Times New Roman" w:hAnsi="Times New Roman" w:eastAsia="仿宋_GB2312" w:cs="Times New Roman"/>
          <w:sz w:val="32"/>
          <w:szCs w:val="32"/>
        </w:rPr>
      </w:pPr>
      <w:r>
        <w:rPr>
          <w:rFonts w:ascii="Times New Roman" w:hAnsi="Times New Roman" w:eastAsia="仿宋_GB2312" w:cs="Times New Roman"/>
          <w:sz w:val="32"/>
          <w:szCs w:val="32"/>
        </w:rPr>
        <w:t>5.2.</w:t>
      </w:r>
      <w:r>
        <w:rPr>
          <w:rFonts w:hint="eastAsia" w:ascii="Times New Roman" w:hAnsi="Times New Roman" w:eastAsia="仿宋_GB2312" w:cs="Times New Roman"/>
          <w:sz w:val="32"/>
          <w:szCs w:val="32"/>
        </w:rPr>
        <w:t>2</w:t>
      </w:r>
      <w:r>
        <w:rPr>
          <w:rFonts w:ascii="Times New Roman" w:hAnsi="Times New Roman" w:eastAsia="仿宋_GB2312" w:cs="Times New Roman"/>
          <w:sz w:val="32"/>
          <w:szCs w:val="32"/>
        </w:rPr>
        <w:t>.3</w:t>
      </w:r>
      <w:r>
        <w:rPr>
          <w:rFonts w:hint="eastAsia" w:ascii="Times New Roman" w:hAnsi="Times New Roman" w:eastAsia="仿宋_GB2312" w:cs="Times New Roman"/>
          <w:sz w:val="32"/>
          <w:szCs w:val="32"/>
        </w:rPr>
        <w:t>修改资产分类后，如涉及历史数据，如库存、订单、合同，需要沟通对应经办人，进行历史单据处理后，再行修订。</w:t>
      </w:r>
    </w:p>
    <w:p>
      <w:pPr>
        <w:spacing w:line="560" w:lineRule="exact"/>
        <w:ind w:firstLine="630" w:firstLineChars="300"/>
        <w:rPr>
          <w:rFonts w:ascii="Times New Roman" w:hAnsi="Times New Roman" w:eastAsia="仿宋_GB2312" w:cs="Times New Roman"/>
          <w:sz w:val="32"/>
          <w:szCs w:val="32"/>
        </w:rPr>
      </w:pPr>
      <w:r>
        <w:drawing>
          <wp:anchor distT="0" distB="0" distL="114300" distR="114300" simplePos="0" relativeHeight="251665408" behindDoc="0" locked="0" layoutInCell="1" allowOverlap="1">
            <wp:simplePos x="0" y="0"/>
            <wp:positionH relativeFrom="column">
              <wp:posOffset>502285</wp:posOffset>
            </wp:positionH>
            <wp:positionV relativeFrom="paragraph">
              <wp:posOffset>791210</wp:posOffset>
            </wp:positionV>
            <wp:extent cx="4792980" cy="2655570"/>
            <wp:effectExtent l="0" t="0" r="7620" b="0"/>
            <wp:wrapTopAndBottom/>
            <wp:docPr id="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
                    <pic:cNvPicPr>
                      <a:picLocks noChangeAspect="1"/>
                    </pic:cNvPicPr>
                  </pic:nvPicPr>
                  <pic:blipFill>
                    <a:blip r:embed="rId17"/>
                    <a:stretch>
                      <a:fillRect/>
                    </a:stretch>
                  </pic:blipFill>
                  <pic:spPr>
                    <a:xfrm>
                      <a:off x="0" y="0"/>
                      <a:ext cx="4792980" cy="2655570"/>
                    </a:xfrm>
                    <a:prstGeom prst="rect">
                      <a:avLst/>
                    </a:prstGeom>
                    <a:noFill/>
                    <a:ln>
                      <a:noFill/>
                    </a:ln>
                  </pic:spPr>
                </pic:pic>
              </a:graphicData>
            </a:graphic>
          </wp:anchor>
        </w:drawing>
      </w:r>
      <w:r>
        <w:rPr>
          <w:rFonts w:ascii="Times New Roman" w:hAnsi="Times New Roman" w:eastAsia="仿宋_GB2312" w:cs="Times New Roman"/>
          <w:sz w:val="32"/>
          <w:szCs w:val="32"/>
        </w:rPr>
        <w:t>5.2.</w:t>
      </w:r>
      <w:r>
        <w:rPr>
          <w:rFonts w:hint="eastAsia" w:ascii="Times New Roman" w:hAnsi="Times New Roman" w:eastAsia="仿宋_GB2312" w:cs="Times New Roman"/>
          <w:sz w:val="32"/>
          <w:szCs w:val="32"/>
        </w:rPr>
        <w:t>2</w:t>
      </w:r>
      <w:r>
        <w:rPr>
          <w:rFonts w:ascii="Times New Roman" w:hAnsi="Times New Roman" w:eastAsia="仿宋_GB2312" w:cs="Times New Roman"/>
          <w:sz w:val="32"/>
          <w:szCs w:val="32"/>
        </w:rPr>
        <w:t>.4</w:t>
      </w:r>
      <w:r>
        <w:rPr>
          <w:rFonts w:hint="eastAsia" w:ascii="Times New Roman" w:hAnsi="Times New Roman" w:eastAsia="仿宋_GB2312" w:cs="Times New Roman"/>
          <w:sz w:val="32"/>
          <w:szCs w:val="32"/>
        </w:rPr>
        <w:t>审核无误后，物资管理部统计管理岗需要在物资编码库</w:t>
      </w:r>
      <w:r>
        <w:rPr>
          <w:rFonts w:ascii="Times New Roman" w:hAnsi="Times New Roman" w:eastAsia="仿宋_GB2312" w:cs="Times New Roman"/>
          <w:sz w:val="32"/>
          <w:szCs w:val="32"/>
        </w:rPr>
        <w:t>EBS</w:t>
      </w:r>
      <w:r>
        <w:rPr>
          <w:rFonts w:hint="eastAsia" w:ascii="Times New Roman" w:hAnsi="Times New Roman" w:eastAsia="仿宋_GB2312" w:cs="Times New Roman"/>
          <w:sz w:val="32"/>
          <w:szCs w:val="32"/>
        </w:rPr>
        <w:t>界面进行资产分类修订、启用。</w:t>
      </w:r>
    </w:p>
    <w:p>
      <w:pPr>
        <w:spacing w:line="560" w:lineRule="exact"/>
        <w:ind w:firstLine="640" w:firstLineChars="200"/>
        <w:outlineLvl w:val="0"/>
        <w:rPr>
          <w:rFonts w:ascii="黑体" w:hAnsi="黑体" w:eastAsia="黑体" w:cs="黑体"/>
          <w:sz w:val="32"/>
          <w:szCs w:val="32"/>
        </w:rPr>
      </w:pPr>
      <w:r>
        <w:rPr>
          <w:rFonts w:hint="eastAsia" w:ascii="黑体" w:hAnsi="黑体" w:eastAsia="黑体" w:cs="黑体"/>
          <w:sz w:val="32"/>
          <w:szCs w:val="32"/>
        </w:rPr>
        <w:t>五、资料归档</w:t>
      </w:r>
    </w:p>
    <w:p>
      <w:pPr>
        <w:spacing w:line="560" w:lineRule="exact"/>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物资管理部统计管理岗审批完毕资料后，需要对以下资料进行备案。</w:t>
      </w:r>
    </w:p>
    <w:p>
      <w:pPr>
        <w:spacing w:line="560" w:lineRule="exact"/>
        <w:ind w:firstLine="640" w:firstLineChars="200"/>
        <w:outlineLvl w:val="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1</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物资图片</w:t>
      </w:r>
    </w:p>
    <w:p>
      <w:pPr>
        <w:spacing w:line="560" w:lineRule="exact"/>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存放位置为：</w:t>
      </w:r>
      <w:r>
        <w:rPr>
          <w:rFonts w:ascii="Times New Roman" w:hAnsi="Times New Roman" w:eastAsia="仿宋_GB2312" w:cs="Times New Roman"/>
          <w:sz w:val="32"/>
          <w:szCs w:val="32"/>
        </w:rPr>
        <w:t>Y:\B-</w:t>
      </w:r>
      <w:r>
        <w:rPr>
          <w:rFonts w:hint="eastAsia" w:ascii="Times New Roman" w:hAnsi="Times New Roman" w:eastAsia="仿宋_GB2312" w:cs="Times New Roman"/>
          <w:sz w:val="32"/>
          <w:szCs w:val="32"/>
        </w:rPr>
        <w:t>计划采购室</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计划组</w:t>
      </w:r>
      <w:r>
        <w:rPr>
          <w:rFonts w:ascii="Times New Roman" w:hAnsi="Times New Roman" w:eastAsia="仿宋_GB2312" w:cs="Times New Roman"/>
          <w:sz w:val="32"/>
          <w:szCs w:val="32"/>
        </w:rPr>
        <w:t>\19-</w:t>
      </w:r>
      <w:r>
        <w:rPr>
          <w:rFonts w:hint="eastAsia" w:ascii="Times New Roman" w:hAnsi="Times New Roman" w:eastAsia="仿宋_GB2312" w:cs="Times New Roman"/>
          <w:sz w:val="32"/>
          <w:szCs w:val="32"/>
        </w:rPr>
        <w:t>物资图片。</w:t>
      </w:r>
    </w:p>
    <w:p>
      <w:pPr>
        <w:spacing w:line="560" w:lineRule="exact"/>
        <w:ind w:firstLine="640" w:firstLineChars="200"/>
        <w:outlineLvl w:val="1"/>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2</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选型结果和定制类物资图片</w:t>
      </w:r>
    </w:p>
    <w:p>
      <w:pPr>
        <w:spacing w:line="560" w:lineRule="exact"/>
        <w:ind w:firstLine="640" w:firstLineChars="20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系统留存，单据知会相关经办人，进行选型目录更新和定制类资料备案。</w:t>
      </w:r>
    </w:p>
    <w:p>
      <w:pPr>
        <w:pStyle w:val="4"/>
        <w:spacing w:after="0" w:line="560" w:lineRule="exact"/>
        <w:ind w:firstLine="640" w:firstLineChars="200"/>
        <w:rPr>
          <w:rFonts w:ascii="Times New Roman" w:hAnsi="Times New Roman" w:eastAsia="仿宋_GB2312" w:cs="Times New Roman"/>
          <w:sz w:val="32"/>
          <w:szCs w:val="32"/>
        </w:rPr>
      </w:pPr>
    </w:p>
    <w:p>
      <w:pPr>
        <w:pStyle w:val="4"/>
        <w:spacing w:after="0" w:line="560" w:lineRule="exact"/>
        <w:ind w:firstLine="640" w:firstLineChars="200"/>
        <w:rPr>
          <w:rFonts w:ascii="Times New Roman" w:hAnsi="Times New Roman" w:eastAsia="仿宋_GB2312" w:cs="Times New Roman"/>
          <w:sz w:val="32"/>
          <w:szCs w:val="32"/>
        </w:rPr>
      </w:pPr>
    </w:p>
    <w:p>
      <w:pPr>
        <w:pStyle w:val="4"/>
        <w:spacing w:after="0" w:line="560" w:lineRule="exact"/>
        <w:ind w:firstLine="640" w:firstLineChars="200"/>
        <w:outlineLvl w:val="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附件</w:t>
      </w:r>
      <w:r>
        <w:rPr>
          <w:rFonts w:ascii="Times New Roman" w:hAnsi="Times New Roman" w:eastAsia="仿宋_GB2312" w:cs="Times New Roman"/>
          <w:sz w:val="32"/>
          <w:szCs w:val="32"/>
        </w:rPr>
        <w:t>1</w:t>
      </w:r>
      <w:r>
        <w:rPr>
          <w:rFonts w:hint="eastAsia" w:ascii="Times New Roman" w:hAnsi="Times New Roman" w:eastAsia="仿宋_GB2312" w:cs="Times New Roman"/>
          <w:sz w:val="32"/>
          <w:szCs w:val="32"/>
        </w:rPr>
        <w:t>：资产类别与物资类型对应关系清单</w:t>
      </w:r>
    </w:p>
    <w:p>
      <w:pPr>
        <w:pStyle w:val="4"/>
        <w:spacing w:after="0" w:line="560" w:lineRule="exact"/>
        <w:ind w:firstLine="640" w:firstLineChars="200"/>
        <w:outlineLvl w:val="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附件</w:t>
      </w:r>
      <w:r>
        <w:rPr>
          <w:rFonts w:ascii="Times New Roman" w:hAnsi="Times New Roman" w:eastAsia="仿宋_GB2312" w:cs="Times New Roman"/>
          <w:sz w:val="32"/>
          <w:szCs w:val="32"/>
        </w:rPr>
        <w:t>2</w:t>
      </w:r>
      <w:r>
        <w:rPr>
          <w:rFonts w:hint="eastAsia" w:ascii="Times New Roman" w:hAnsi="Times New Roman" w:eastAsia="仿宋_GB2312" w:cs="Times New Roman"/>
          <w:sz w:val="32"/>
          <w:szCs w:val="32"/>
        </w:rPr>
        <w:t>：编码申请</w:t>
      </w:r>
      <w:r>
        <w:rPr>
          <w:rFonts w:ascii="Times New Roman" w:hAnsi="Times New Roman" w:eastAsia="仿宋_GB2312" w:cs="Times New Roman"/>
          <w:sz w:val="32"/>
          <w:szCs w:val="32"/>
        </w:rPr>
        <w:t>/</w:t>
      </w:r>
      <w:r>
        <w:rPr>
          <w:rFonts w:hint="eastAsia" w:ascii="Times New Roman" w:hAnsi="Times New Roman" w:eastAsia="仿宋_GB2312" w:cs="Times New Roman"/>
          <w:sz w:val="32"/>
          <w:szCs w:val="32"/>
        </w:rPr>
        <w:t>修订自查问题表</w:t>
      </w:r>
    </w:p>
    <w:p>
      <w:pPr>
        <w:pStyle w:val="4"/>
        <w:spacing w:after="0" w:line="560" w:lineRule="exact"/>
        <w:ind w:firstLine="640" w:firstLineChars="200"/>
        <w:outlineLvl w:val="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附件3：物资说明可调整情况分类</w:t>
      </w:r>
    </w:p>
    <w:p>
      <w:pPr>
        <w:pStyle w:val="4"/>
        <w:spacing w:after="0" w:line="560" w:lineRule="exact"/>
        <w:ind w:firstLine="640" w:firstLineChars="200"/>
        <w:outlineLvl w:val="0"/>
        <w:rPr>
          <w:rFonts w:ascii="Times New Roman" w:hAnsi="Times New Roman" w:eastAsia="仿宋_GB2312" w:cs="Times New Roman"/>
          <w:sz w:val="32"/>
          <w:szCs w:val="32"/>
        </w:rPr>
      </w:pPr>
      <w:r>
        <w:rPr>
          <w:rFonts w:hint="eastAsia" w:ascii="Times New Roman" w:hAnsi="Times New Roman" w:eastAsia="仿宋_GB2312" w:cs="Times New Roman"/>
          <w:sz w:val="32"/>
          <w:szCs w:val="32"/>
        </w:rPr>
        <w:t>附件4：物资编码修订申请表</w:t>
      </w:r>
    </w:p>
    <w:p>
      <w:pPr>
        <w:wordWrap w:val="0"/>
        <w:spacing w:line="560" w:lineRule="exact"/>
        <w:ind w:firstLine="5760" w:firstLineChars="1800"/>
        <w:rPr>
          <w:rFonts w:ascii="Times New Roman" w:hAnsi="Times New Roman" w:eastAsia="仿宋_GB2312" w:cs="仿宋_GB2312"/>
          <w:sz w:val="32"/>
          <w:szCs w:val="32"/>
          <w:lang w:bidi="ar"/>
        </w:rPr>
      </w:pPr>
    </w:p>
    <w:p>
      <w:pPr>
        <w:wordWrap w:val="0"/>
        <w:spacing w:line="560" w:lineRule="exact"/>
        <w:ind w:firstLine="5760" w:firstLineChars="1800"/>
        <w:rPr>
          <w:rFonts w:ascii="Times New Roman" w:hAnsi="Times New Roman" w:eastAsia="仿宋_GB2312" w:cs="仿宋_GB2312"/>
          <w:sz w:val="32"/>
          <w:szCs w:val="32"/>
          <w:lang w:bidi="ar"/>
        </w:rPr>
      </w:pPr>
    </w:p>
    <w:p>
      <w:pPr>
        <w:wordWrap w:val="0"/>
        <w:spacing w:line="560" w:lineRule="exact"/>
        <w:ind w:firstLine="5760" w:firstLineChars="1800"/>
        <w:rPr>
          <w:rFonts w:ascii="Times New Roman" w:hAnsi="Times New Roman" w:eastAsia="仿宋_GB2312" w:cs="仿宋_GB2312"/>
          <w:sz w:val="32"/>
          <w:szCs w:val="32"/>
          <w:lang w:bidi="ar"/>
        </w:rPr>
      </w:pPr>
      <w:r>
        <w:rPr>
          <w:rFonts w:hint="eastAsia" w:ascii="Times New Roman" w:hAnsi="Times New Roman" w:eastAsia="仿宋_GB2312" w:cs="仿宋_GB2312"/>
          <w:sz w:val="32"/>
          <w:szCs w:val="32"/>
          <w:lang w:bidi="ar"/>
        </w:rPr>
        <w:t>物资管理部</w:t>
      </w:r>
      <w:r>
        <w:rPr>
          <w:rFonts w:ascii="Times New Roman" w:hAnsi="Times New Roman" w:eastAsia="仿宋_GB2312" w:cs="仿宋_GB2312"/>
          <w:sz w:val="32"/>
          <w:szCs w:val="32"/>
          <w:lang w:bidi="ar"/>
        </w:rPr>
        <w:t xml:space="preserve">     </w:t>
      </w:r>
    </w:p>
    <w:p>
      <w:pPr>
        <w:spacing w:line="560" w:lineRule="exact"/>
        <w:ind w:firstLine="640" w:firstLineChars="200"/>
        <w:jc w:val="center"/>
        <w:rPr>
          <w:rFonts w:ascii="Times New Roman" w:hAnsi="Times New Roman" w:eastAsia="仿宋_GB2312" w:cs="仿宋_GB2312"/>
          <w:sz w:val="32"/>
          <w:szCs w:val="32"/>
          <w:lang w:bidi="ar"/>
        </w:rPr>
      </w:pPr>
      <w:r>
        <w:rPr>
          <w:rFonts w:ascii="Times New Roman" w:hAnsi="Times New Roman" w:eastAsia="仿宋_GB2312" w:cs="仿宋_GB2312"/>
          <w:sz w:val="32"/>
          <w:szCs w:val="32"/>
          <w:lang w:bidi="ar"/>
        </w:rPr>
        <w:t xml:space="preserve">                         202</w:t>
      </w:r>
      <w:r>
        <w:rPr>
          <w:rFonts w:hint="eastAsia" w:ascii="Times New Roman" w:hAnsi="Times New Roman" w:eastAsia="仿宋_GB2312" w:cs="仿宋_GB2312"/>
          <w:sz w:val="32"/>
          <w:szCs w:val="32"/>
          <w:lang w:bidi="ar"/>
        </w:rPr>
        <w:t>4年</w:t>
      </w:r>
      <w:r>
        <w:rPr>
          <w:rFonts w:hint="eastAsia" w:ascii="Times New Roman" w:hAnsi="Times New Roman" w:eastAsia="仿宋_GB2312" w:cs="仿宋_GB2312"/>
          <w:sz w:val="32"/>
          <w:szCs w:val="32"/>
          <w:lang w:val="en-US" w:eastAsia="zh-CN" w:bidi="ar"/>
        </w:rPr>
        <w:t>7</w:t>
      </w:r>
      <w:r>
        <w:rPr>
          <w:rFonts w:hint="eastAsia" w:ascii="Times New Roman" w:hAnsi="Times New Roman" w:eastAsia="仿宋_GB2312" w:cs="仿宋_GB2312"/>
          <w:sz w:val="32"/>
          <w:szCs w:val="32"/>
          <w:lang w:bidi="ar"/>
        </w:rPr>
        <w:t>月</w:t>
      </w:r>
      <w:r>
        <w:rPr>
          <w:rFonts w:hint="eastAsia" w:ascii="Times New Roman" w:hAnsi="Times New Roman" w:eastAsia="仿宋_GB2312" w:cs="仿宋_GB2312"/>
          <w:sz w:val="32"/>
          <w:szCs w:val="32"/>
          <w:lang w:val="en-US" w:eastAsia="zh-CN" w:bidi="ar"/>
        </w:rPr>
        <w:t>16</w:t>
      </w:r>
      <w:r>
        <w:rPr>
          <w:rFonts w:hint="eastAsia" w:ascii="Times New Roman" w:hAnsi="Times New Roman" w:eastAsia="仿宋_GB2312" w:cs="仿宋_GB2312"/>
          <w:sz w:val="32"/>
          <w:szCs w:val="32"/>
          <w:lang w:bidi="ar"/>
        </w:rPr>
        <w:t>日</w:t>
      </w:r>
    </w:p>
    <w:p>
      <w:pPr>
        <w:jc w:val="left"/>
        <w:rPr>
          <w:rFonts w:ascii="Times New Roman" w:hAnsi="Times New Roman" w:eastAsia="仿宋_GB2312" w:cs="仿宋_GB2312"/>
          <w:sz w:val="32"/>
          <w:szCs w:val="32"/>
          <w:lang w:bidi="ar"/>
        </w:rPr>
      </w:pPr>
      <w:r>
        <w:rPr>
          <w:rFonts w:ascii="Times New Roman" w:hAnsi="Times New Roman" w:eastAsia="仿宋_GB2312" w:cs="仿宋_GB2312"/>
          <w:sz w:val="32"/>
          <w:szCs w:val="32"/>
          <w:lang w:bidi="ar"/>
        </w:rPr>
        <w:br w:type="page"/>
      </w:r>
    </w:p>
    <w:p>
      <w:pPr>
        <w:pStyle w:val="4"/>
        <w:spacing w:line="560" w:lineRule="exact"/>
        <w:outlineLvl w:val="0"/>
        <w:rPr>
          <w:rFonts w:ascii="黑体" w:hAnsi="黑体" w:eastAsia="黑体" w:cs="黑体"/>
          <w:sz w:val="32"/>
          <w:szCs w:val="32"/>
        </w:rPr>
      </w:pPr>
      <w:r>
        <w:rPr>
          <w:rFonts w:hint="eastAsia" w:ascii="黑体" w:hAnsi="黑体" w:eastAsia="黑体" w:cs="黑体"/>
          <w:sz w:val="32"/>
          <w:szCs w:val="32"/>
        </w:rPr>
        <w:t>附件</w:t>
      </w:r>
      <w:r>
        <w:rPr>
          <w:rFonts w:ascii="黑体" w:hAnsi="黑体" w:eastAsia="黑体" w:cs="黑体"/>
          <w:sz w:val="32"/>
          <w:szCs w:val="32"/>
        </w:rPr>
        <w:t>1：</w:t>
      </w:r>
    </w:p>
    <w:p>
      <w:pPr>
        <w:pStyle w:val="4"/>
        <w:spacing w:line="560" w:lineRule="exact"/>
        <w:jc w:val="center"/>
        <w:rPr>
          <w:rFonts w:ascii="黑体" w:hAnsi="黑体" w:eastAsia="方正小标宋简体" w:cs="黑体"/>
          <w:sz w:val="32"/>
          <w:szCs w:val="32"/>
        </w:rPr>
      </w:pPr>
      <w:r>
        <w:rPr>
          <w:rFonts w:hint="eastAsia" w:ascii="方正小标宋简体" w:hAnsi="方正小标宋简体" w:eastAsia="方正小标宋简体" w:cs="方正小标宋简体"/>
          <w:sz w:val="44"/>
          <w:szCs w:val="44"/>
        </w:rPr>
        <w:t>资产类别与物资类型对应关系清单（暂定）</w:t>
      </w:r>
    </w:p>
    <w:p>
      <w:pPr>
        <w:pStyle w:val="4"/>
        <w:spacing w:line="560" w:lineRule="exact"/>
        <w:rPr>
          <w:rFonts w:ascii="黑体" w:hAnsi="黑体" w:eastAsia="黑体" w:cs="黑体"/>
          <w:sz w:val="32"/>
          <w:szCs w:val="32"/>
        </w:rPr>
      </w:pPr>
    </w:p>
    <w:tbl>
      <w:tblPr>
        <w:tblStyle w:val="10"/>
        <w:tblW w:w="5000" w:type="pct"/>
        <w:tblInd w:w="0" w:type="dxa"/>
        <w:tblLayout w:type="fixed"/>
        <w:tblCellMar>
          <w:top w:w="0" w:type="dxa"/>
          <w:left w:w="108" w:type="dxa"/>
          <w:bottom w:w="0" w:type="dxa"/>
          <w:right w:w="108" w:type="dxa"/>
        </w:tblCellMar>
      </w:tblPr>
      <w:tblGrid>
        <w:gridCol w:w="815"/>
        <w:gridCol w:w="3204"/>
        <w:gridCol w:w="5042"/>
      </w:tblGrid>
      <w:tr>
        <w:tblPrEx>
          <w:tblCellMar>
            <w:top w:w="0" w:type="dxa"/>
            <w:left w:w="108" w:type="dxa"/>
            <w:bottom w:w="0" w:type="dxa"/>
            <w:right w:w="108" w:type="dxa"/>
          </w:tblCellMar>
        </w:tblPrEx>
        <w:trPr>
          <w:trHeight w:val="285" w:hRule="atLeast"/>
          <w:tblHeader/>
        </w:trPr>
        <w:tc>
          <w:tcPr>
            <w:tcW w:w="4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大类</w:t>
            </w:r>
          </w:p>
        </w:tc>
        <w:tc>
          <w:tcPr>
            <w:tcW w:w="176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中类</w:t>
            </w:r>
          </w:p>
        </w:tc>
        <w:tc>
          <w:tcPr>
            <w:tcW w:w="27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建议物资类型</w:t>
            </w:r>
          </w:p>
        </w:tc>
      </w:tr>
      <w:tr>
        <w:tblPrEx>
          <w:tblCellMar>
            <w:top w:w="0" w:type="dxa"/>
            <w:left w:w="108" w:type="dxa"/>
            <w:bottom w:w="0" w:type="dxa"/>
            <w:right w:w="108" w:type="dxa"/>
          </w:tblCellMar>
        </w:tblPrEx>
        <w:trPr>
          <w:trHeight w:val="285" w:hRule="atLeast"/>
        </w:trPr>
        <w:tc>
          <w:tcPr>
            <w:tcW w:w="450"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01/房屋构筑物及轨道设施</w:t>
            </w: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01/房屋</w:t>
            </w:r>
          </w:p>
        </w:tc>
        <w:tc>
          <w:tcPr>
            <w:tcW w:w="2781"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类别划分到三级半的，为设施设备；四级半及之后的，为备品备件</w:t>
            </w:r>
            <w:r>
              <w:rPr>
                <w:rFonts w:hint="eastAsia" w:asciiTheme="minorEastAsia" w:hAnsiTheme="minorEastAsia" w:eastAsiaTheme="minorEastAsia" w:cstheme="minorEastAsia"/>
                <w:kern w:val="0"/>
                <w:sz w:val="21"/>
                <w:szCs w:val="21"/>
                <w:lang w:bidi="ar"/>
              </w:rPr>
              <w:t>。</w:t>
            </w: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02/构筑物</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03/轨道设施</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02/电客车</w:t>
            </w: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01/车体及内装系统</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02/贯通道系统</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03/列车空调系统</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04/车钩系统</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05/转向架系统</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06/列车制动系统</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07/列车牵引系统</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08/列车控制系统</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09/列车辅助系统</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10/车门系统</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11/电线路系统</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03/车辆运输设备</w:t>
            </w: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01/轨道车</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02/线路维修工程车</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03/平板车</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04/平板随车吊车</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05/牵引运输设备</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06/汽车</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04/工具及器具</w:t>
            </w: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01/手动工具</w:t>
            </w:r>
          </w:p>
        </w:tc>
        <w:tc>
          <w:tcPr>
            <w:tcW w:w="2781"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工器具</w:t>
            </w: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02/电动工具</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03/气动工具</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04/液压工具</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05/照明工具</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06/通讯工具</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07/登高工具</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08/搬运工具</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09/起重工具</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10/工具容器</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11/电子电工工具</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12/票务专用工器具</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13/站务专用工器具</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14/车辆专用工器具</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15/信号专用工器具</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16/轨道专用工器具</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17/供电专用工器具</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18/接触网专用工器具</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19/给排水专用工器具</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20/其他专用工器具</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21/计量工器具</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22/测量工器具</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05/办公用具</w:t>
            </w: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01/办公家具</w:t>
            </w:r>
          </w:p>
        </w:tc>
        <w:tc>
          <w:tcPr>
            <w:tcW w:w="27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家具</w:t>
            </w: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02/办公电器</w:t>
            </w:r>
          </w:p>
        </w:tc>
        <w:tc>
          <w:tcPr>
            <w:tcW w:w="27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kern w:val="0"/>
                <w:sz w:val="21"/>
                <w:szCs w:val="21"/>
                <w:lang w:bidi="ar"/>
              </w:rPr>
              <w:t>办公用</w:t>
            </w:r>
            <w:r>
              <w:rPr>
                <w:rFonts w:hint="eastAsia" w:asciiTheme="minorEastAsia" w:hAnsiTheme="minorEastAsia" w:eastAsiaTheme="minorEastAsia" w:cstheme="minorEastAsia"/>
                <w:kern w:val="0"/>
                <w:sz w:val="21"/>
                <w:szCs w:val="21"/>
                <w:lang w:val="en-US" w:eastAsia="zh-CN" w:bidi="ar"/>
              </w:rPr>
              <w:t>具</w:t>
            </w: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03/计算机及网络设备</w:t>
            </w:r>
          </w:p>
        </w:tc>
        <w:tc>
          <w:tcPr>
            <w:tcW w:w="27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eastAsia" w:asciiTheme="minorEastAsia" w:hAnsiTheme="minorEastAsia" w:eastAsiaTheme="minorEastAsia" w:cstheme="minorEastAsia"/>
                <w:kern w:val="0"/>
                <w:sz w:val="21"/>
                <w:szCs w:val="21"/>
                <w:highlight w:val="none"/>
                <w:lang w:bidi="ar"/>
              </w:rPr>
            </w:pPr>
            <w:r>
              <w:rPr>
                <w:rFonts w:hint="eastAsia" w:asciiTheme="minorEastAsia" w:hAnsiTheme="minorEastAsia" w:eastAsiaTheme="minorEastAsia" w:cstheme="minorEastAsia"/>
                <w:kern w:val="0"/>
                <w:sz w:val="21"/>
                <w:szCs w:val="21"/>
                <w:highlight w:val="none"/>
                <w:lang w:bidi="ar"/>
              </w:rPr>
              <w:t>用于办公场所或正线办公室</w:t>
            </w:r>
          </w:p>
          <w:p>
            <w:pPr>
              <w:widowControl/>
              <w:jc w:val="center"/>
              <w:textAlignment w:val="center"/>
              <w:rPr>
                <w:rFonts w:hint="eastAsia" w:asciiTheme="minorEastAsia" w:hAnsiTheme="minorEastAsia" w:eastAsiaTheme="minorEastAsia" w:cstheme="minorEastAsia"/>
                <w:kern w:val="0"/>
                <w:sz w:val="21"/>
                <w:szCs w:val="21"/>
                <w:highlight w:val="none"/>
                <w:lang w:bidi="ar"/>
              </w:rPr>
            </w:pPr>
            <w:r>
              <w:rPr>
                <w:rFonts w:hint="eastAsia" w:asciiTheme="minorEastAsia" w:hAnsiTheme="minorEastAsia" w:eastAsiaTheme="minorEastAsia" w:cstheme="minorEastAsia"/>
                <w:kern w:val="0"/>
                <w:sz w:val="21"/>
                <w:szCs w:val="21"/>
                <w:highlight w:val="none"/>
                <w:lang w:bidi="ar"/>
              </w:rPr>
              <w:t>的，为办公用</w:t>
            </w:r>
            <w:r>
              <w:rPr>
                <w:rFonts w:hint="eastAsia" w:asciiTheme="minorEastAsia" w:hAnsiTheme="minorEastAsia" w:eastAsiaTheme="minorEastAsia" w:cstheme="minorEastAsia"/>
                <w:kern w:val="0"/>
                <w:sz w:val="21"/>
                <w:szCs w:val="21"/>
                <w:highlight w:val="none"/>
                <w:lang w:val="en-US" w:eastAsia="zh-CN" w:bidi="ar"/>
              </w:rPr>
              <w:t>具</w:t>
            </w:r>
            <w:r>
              <w:rPr>
                <w:rFonts w:hint="eastAsia" w:asciiTheme="minorEastAsia" w:hAnsiTheme="minorEastAsia" w:eastAsiaTheme="minorEastAsia" w:cstheme="minorEastAsia"/>
                <w:kern w:val="0"/>
                <w:sz w:val="21"/>
                <w:szCs w:val="21"/>
                <w:highlight w:val="none"/>
                <w:lang w:bidi="ar"/>
              </w:rPr>
              <w:t>；</w:t>
            </w:r>
          </w:p>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highlight w:val="none"/>
                <w:lang w:bidi="ar"/>
              </w:rPr>
              <w:t>生产场所的为备品备件或设施设备。</w:t>
            </w: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04/音像设备</w:t>
            </w:r>
          </w:p>
        </w:tc>
        <w:tc>
          <w:tcPr>
            <w:tcW w:w="2781" w:type="pct"/>
            <w:vMerge w:val="restart"/>
            <w:tcBorders>
              <w:top w:val="single" w:color="000000" w:sz="4" w:space="0"/>
              <w:left w:val="single" w:color="000000" w:sz="4" w:space="0"/>
              <w:right w:val="single" w:color="000000" w:sz="4" w:space="0"/>
            </w:tcBorders>
            <w:shd w:val="clear" w:color="auto" w:fill="auto"/>
            <w:noWrap/>
            <w:vAlign w:val="center"/>
          </w:tcPr>
          <w:p>
            <w:pPr>
              <w:widowControl/>
              <w:jc w:val="center"/>
              <w:textAlignment w:val="center"/>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kern w:val="0"/>
                <w:sz w:val="21"/>
                <w:szCs w:val="21"/>
                <w:lang w:bidi="ar"/>
              </w:rPr>
              <w:t>办公用</w:t>
            </w:r>
            <w:r>
              <w:rPr>
                <w:rFonts w:hint="eastAsia" w:asciiTheme="minorEastAsia" w:hAnsiTheme="minorEastAsia" w:eastAsiaTheme="minorEastAsia" w:cstheme="minorEastAsia"/>
                <w:kern w:val="0"/>
                <w:sz w:val="21"/>
                <w:szCs w:val="21"/>
                <w:lang w:val="en-US" w:eastAsia="zh-CN" w:bidi="ar"/>
              </w:rPr>
              <w:t>具</w:t>
            </w: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05/印刷设备</w:t>
            </w:r>
          </w:p>
        </w:tc>
        <w:tc>
          <w:tcPr>
            <w:tcW w:w="2781" w:type="pct"/>
            <w:vMerge w:val="continue"/>
            <w:tcBorders>
              <w:left w:val="single" w:color="000000" w:sz="4" w:space="0"/>
              <w:right w:val="single" w:color="000000" w:sz="4" w:space="0"/>
            </w:tcBorders>
            <w:shd w:val="clear" w:color="auto" w:fill="auto"/>
            <w:noWrap/>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06/通信用具</w:t>
            </w:r>
          </w:p>
        </w:tc>
        <w:tc>
          <w:tcPr>
            <w:tcW w:w="2781" w:type="pct"/>
            <w:vMerge w:val="continue"/>
            <w:tcBorders>
              <w:left w:val="single" w:color="000000" w:sz="4" w:space="0"/>
              <w:right w:val="single" w:color="000000" w:sz="4" w:space="0"/>
            </w:tcBorders>
            <w:shd w:val="clear" w:color="auto" w:fill="auto"/>
            <w:noWrap/>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07/监控系统</w:t>
            </w:r>
          </w:p>
        </w:tc>
        <w:tc>
          <w:tcPr>
            <w:tcW w:w="2781" w:type="pct"/>
            <w:vMerge w:val="continue"/>
            <w:tcBorders>
              <w:left w:val="single" w:color="000000" w:sz="4" w:space="0"/>
              <w:right w:val="single" w:color="000000" w:sz="4" w:space="0"/>
            </w:tcBorders>
            <w:shd w:val="clear" w:color="auto" w:fill="auto"/>
            <w:noWrap/>
            <w:vAlign w:val="center"/>
          </w:tcPr>
          <w:p>
            <w:pPr>
              <w:widowControl/>
              <w:jc w:val="center"/>
              <w:textAlignment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08/文体设备</w:t>
            </w:r>
          </w:p>
        </w:tc>
        <w:tc>
          <w:tcPr>
            <w:tcW w:w="2781" w:type="pct"/>
            <w:vMerge w:val="continue"/>
            <w:tcBorders>
              <w:left w:val="single" w:color="000000" w:sz="4" w:space="0"/>
              <w:bottom w:val="single" w:color="000000" w:sz="4" w:space="0"/>
              <w:right w:val="single" w:color="000000" w:sz="4" w:space="0"/>
            </w:tcBorders>
            <w:shd w:val="clear" w:color="auto" w:fill="auto"/>
            <w:noWrap/>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06/AFC系统</w:t>
            </w: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01/售检票系统</w:t>
            </w:r>
          </w:p>
        </w:tc>
        <w:tc>
          <w:tcPr>
            <w:tcW w:w="2781"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val="en-US" w:eastAsia="zh-CN" w:bidi="ar"/>
              </w:rPr>
              <w:t>类别划分到三级半的，为设施设备；四级半及之后的，为备品备件</w:t>
            </w:r>
            <w:r>
              <w:rPr>
                <w:rFonts w:hint="eastAsia" w:asciiTheme="minorEastAsia" w:hAnsiTheme="minorEastAsia" w:eastAsiaTheme="minorEastAsia" w:cstheme="minorEastAsia"/>
                <w:kern w:val="0"/>
                <w:sz w:val="21"/>
                <w:szCs w:val="21"/>
                <w:lang w:bidi="ar"/>
              </w:rPr>
              <w:t>。</w:t>
            </w: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02/清分设备</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07/机电系统</w:t>
            </w: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01/通风空调系统</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02/给排水及消防系统</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03/低压配电系统</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04/站台门系统</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05/电扶梯系统</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06/环境与设备监控系统</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07/综合监控系统</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08/门禁系统</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09/FAS系统</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10/气体灭火系统</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08/供电系统</w:t>
            </w: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01/变电系统</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02/接触网系统</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09/信号系统</w:t>
            </w: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01/电源子系统</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02/联锁子系统</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03/DCS子系统</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04/ATS子系统</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05/ATP/ATO子系统</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06/维护监测子系统</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07/信号线缆</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10/专用通信系统</w:t>
            </w: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01/传输子系统（含附属设备）</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02/专用电话子系统（含附属设备）</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03/公务电话子系统（含附属设备）</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04/广播子系统（含附属设备）</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05/时钟子系统（含附属设备）</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06/视频监控子系统（含附属设备）</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07/专用无线子系统（含附属设备）</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08/电源子系统（含附属设备）</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09/集中告警子系统（含附属设备）</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10/正线PIS系统</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11/通信系统生产计算机及附属设备</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12/综合布线设备</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13/政务通信</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14/通信线路</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15/车载PIS系统</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11/警用通信系统</w:t>
            </w: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01/传输子系统（含附属设备）</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02/视频监控子系统（含附属设备）</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03/无线子系统（含附属设备）</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04电源子系统（含附属设备）</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05/计算机网络子系统（含附属设备）</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06/电话子系统（含附属设备）</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07/通信线路</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12/民用通信系统</w:t>
            </w: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01/传输子系统（含附属设备）</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02/专用电话子系统（含附属设备）</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03/公务电话子系统（含附属设备）</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04/广播子系统（含附属设备）</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05/时钟子系统（含附属设备）</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06/视频监控子系统（含附属设备）</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07/专用无线子系统（含附属设备）</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08/电源子系统（含附属设备）</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09/集中告警子系统（含附属设备）</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10/正线PIS系统</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11/通信系统生产计算机及附属设备</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12/综合布线设备</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13/政务通信</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14/通信线路</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15/车载PIS系统</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13/通用设备</w:t>
            </w: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01/金属加工设备</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02/锻压机械设备</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03/金属切割及焊接设备</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04/电气设备</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05/工程机械</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06/动力设备</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07/起重设备</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08/升降机械</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09/电源设备</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10/线路传输设备</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11/杂项设备</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14/专用设备</w:t>
            </w: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01/车辆专用设备</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02/站务专用设备</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03/车务专用设备</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04/轨道专用设备</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05/通信专用设备</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06/附属专用设备</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07/安保专用设备</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08/安检设备</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09/保洁设备</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10/食堂专用设备</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11/消防专用设备</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12/接触网专用设备</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13/机电专用设备</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14/仓储专用设备</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15/标准与通用配件</w:t>
            </w: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01/通用电气元件</w:t>
            </w:r>
          </w:p>
        </w:tc>
        <w:tc>
          <w:tcPr>
            <w:tcW w:w="2781" w:type="pct"/>
            <w:vMerge w:val="restart"/>
            <w:tcBorders>
              <w:top w:val="single" w:color="000000" w:sz="4" w:space="0"/>
              <w:left w:val="single" w:color="000000" w:sz="4" w:space="0"/>
              <w:right w:val="single" w:color="000000" w:sz="4" w:space="0"/>
            </w:tcBorders>
            <w:shd w:val="clear" w:color="auto" w:fill="auto"/>
            <w:noWrap/>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备品备件</w:t>
            </w: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02/电源设备备件</w:t>
            </w:r>
          </w:p>
        </w:tc>
        <w:tc>
          <w:tcPr>
            <w:tcW w:w="2781" w:type="pct"/>
            <w:vMerge w:val="continue"/>
            <w:tcBorders>
              <w:left w:val="single" w:color="000000" w:sz="4" w:space="0"/>
              <w:right w:val="single" w:color="000000" w:sz="4" w:space="0"/>
            </w:tcBorders>
            <w:shd w:val="clear" w:color="auto" w:fill="auto"/>
            <w:noWrap/>
            <w:vAlign w:val="center"/>
          </w:tcPr>
          <w:p>
            <w:pPr>
              <w:widowControl/>
              <w:jc w:val="center"/>
              <w:textAlignment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03/计算机及网络设备备件</w:t>
            </w:r>
          </w:p>
        </w:tc>
        <w:tc>
          <w:tcPr>
            <w:tcW w:w="2781" w:type="pct"/>
            <w:vMerge w:val="continue"/>
            <w:tcBorders>
              <w:left w:val="single" w:color="000000" w:sz="4" w:space="0"/>
              <w:right w:val="single" w:color="000000" w:sz="4" w:space="0"/>
            </w:tcBorders>
            <w:shd w:val="clear" w:color="auto" w:fill="auto"/>
            <w:noWrap/>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04/通用机械元件</w:t>
            </w:r>
          </w:p>
        </w:tc>
        <w:tc>
          <w:tcPr>
            <w:tcW w:w="2781" w:type="pct"/>
            <w:vMerge w:val="continue"/>
            <w:tcBorders>
              <w:left w:val="single" w:color="000000" w:sz="4" w:space="0"/>
              <w:right w:val="single" w:color="000000" w:sz="4" w:space="0"/>
            </w:tcBorders>
            <w:shd w:val="clear" w:color="auto" w:fill="auto"/>
            <w:noWrap/>
            <w:vAlign w:val="center"/>
          </w:tcPr>
          <w:p>
            <w:pPr>
              <w:widowControl/>
              <w:jc w:val="center"/>
              <w:textAlignment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303"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05/紧固件</w:t>
            </w:r>
          </w:p>
        </w:tc>
        <w:tc>
          <w:tcPr>
            <w:tcW w:w="2781" w:type="pct"/>
            <w:vMerge w:val="continue"/>
            <w:tcBorders>
              <w:left w:val="single" w:color="000000" w:sz="4" w:space="0"/>
              <w:bottom w:val="single" w:color="000000" w:sz="4" w:space="0"/>
              <w:right w:val="single" w:color="000000" w:sz="4" w:space="0"/>
            </w:tcBorders>
            <w:shd w:val="clear" w:color="auto" w:fill="auto"/>
            <w:noWrap/>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06/电缆、线材及附件</w:t>
            </w:r>
          </w:p>
        </w:tc>
        <w:tc>
          <w:tcPr>
            <w:tcW w:w="27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highlight w:val="none"/>
              </w:rPr>
              <w:t>生产性耗材</w:t>
            </w: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07/照明动力</w:t>
            </w:r>
          </w:p>
        </w:tc>
        <w:tc>
          <w:tcPr>
            <w:tcW w:w="2781"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备品备件</w:t>
            </w: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08/轨道设施备件</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09/通风空调系统备件</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10/给排水及消防系统备件</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11/机电系统备件</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16/生产辅助材料</w:t>
            </w: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01/油料、燃料及润滑材料</w:t>
            </w:r>
          </w:p>
        </w:tc>
        <w:tc>
          <w:tcPr>
            <w:tcW w:w="2781"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16/05/009卫浴洁具</w:t>
            </w:r>
            <w:r>
              <w:rPr>
                <w:rFonts w:hint="eastAsia" w:asciiTheme="minorEastAsia" w:hAnsiTheme="minorEastAsia" w:eastAsiaTheme="minorEastAsia" w:cstheme="minorEastAsia"/>
                <w:kern w:val="0"/>
                <w:sz w:val="21"/>
                <w:szCs w:val="21"/>
                <w:lang w:val="en-US" w:eastAsia="zh-CN" w:bidi="ar"/>
              </w:rPr>
              <w:t>作为备品备件，其余作为</w:t>
            </w:r>
            <w:r>
              <w:rPr>
                <w:rFonts w:hint="eastAsia" w:asciiTheme="minorEastAsia" w:hAnsiTheme="minorEastAsia" w:eastAsiaTheme="minorEastAsia" w:cstheme="minorEastAsia"/>
                <w:kern w:val="0"/>
                <w:sz w:val="21"/>
                <w:szCs w:val="21"/>
                <w:lang w:bidi="ar"/>
              </w:rPr>
              <w:t>生产性耗材</w:t>
            </w: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02/金属材料类</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03/非金属材料</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04/化工产品</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05/房建消耗料</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06/标识标牌</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07/其他消耗辅材</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17/其他非生产性物资</w:t>
            </w: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01/劳防用品</w:t>
            </w:r>
          </w:p>
        </w:tc>
        <w:tc>
          <w:tcPr>
            <w:tcW w:w="27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劳防用品</w:t>
            </w: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02/劳保用品</w:t>
            </w:r>
          </w:p>
        </w:tc>
        <w:tc>
          <w:tcPr>
            <w:tcW w:w="27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劳保用品</w:t>
            </w:r>
          </w:p>
        </w:tc>
      </w:tr>
      <w:tr>
        <w:tblPrEx>
          <w:tblCellMar>
            <w:top w:w="0" w:type="dxa"/>
            <w:left w:w="108" w:type="dxa"/>
            <w:bottom w:w="0" w:type="dxa"/>
            <w:right w:w="108" w:type="dxa"/>
          </w:tblCellMar>
        </w:tblPrEx>
        <w:trPr>
          <w:trHeight w:val="293"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03/医药用品</w:t>
            </w:r>
          </w:p>
        </w:tc>
        <w:tc>
          <w:tcPr>
            <w:tcW w:w="27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劳保用品</w:t>
            </w: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04/工装</w:t>
            </w:r>
          </w:p>
        </w:tc>
        <w:tc>
          <w:tcPr>
            <w:tcW w:w="27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劳保用品</w:t>
            </w: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05/防汛防寒物资</w:t>
            </w:r>
          </w:p>
        </w:tc>
        <w:tc>
          <w:tcPr>
            <w:tcW w:w="27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生产性耗材</w:t>
            </w: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06/办公用具</w:t>
            </w:r>
          </w:p>
        </w:tc>
        <w:tc>
          <w:tcPr>
            <w:tcW w:w="2781" w:type="pct"/>
            <w:vMerge w:val="restart"/>
            <w:tcBorders>
              <w:top w:val="single" w:color="000000" w:sz="4" w:space="0"/>
              <w:left w:val="single" w:color="000000" w:sz="4" w:space="0"/>
              <w:right w:val="single" w:color="000000" w:sz="4" w:space="0"/>
            </w:tcBorders>
            <w:shd w:val="clear" w:color="auto" w:fill="auto"/>
            <w:noWrap/>
            <w:vAlign w:val="center"/>
          </w:tcPr>
          <w:p>
            <w:pPr>
              <w:jc w:val="center"/>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rPr>
              <w:t>办公用</w:t>
            </w:r>
            <w:r>
              <w:rPr>
                <w:rFonts w:hint="eastAsia" w:asciiTheme="minorEastAsia" w:hAnsiTheme="minorEastAsia" w:eastAsiaTheme="minorEastAsia" w:cstheme="minorEastAsia"/>
                <w:sz w:val="21"/>
                <w:szCs w:val="21"/>
                <w:lang w:val="en-US" w:eastAsia="zh-CN"/>
              </w:rPr>
              <w:t>具</w:t>
            </w: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07/物业用具</w:t>
            </w:r>
          </w:p>
        </w:tc>
        <w:tc>
          <w:tcPr>
            <w:tcW w:w="2781" w:type="pct"/>
            <w:vMerge w:val="continue"/>
            <w:tcBorders>
              <w:left w:val="single" w:color="000000" w:sz="4" w:space="0"/>
              <w:bottom w:val="single" w:color="000000" w:sz="4" w:space="0"/>
              <w:right w:val="single" w:color="000000" w:sz="4" w:space="0"/>
            </w:tcBorders>
            <w:shd w:val="clear" w:color="auto" w:fill="auto"/>
            <w:noWrap/>
            <w:vAlign w:val="center"/>
          </w:tcPr>
          <w:p>
            <w:pPr>
              <w:jc w:val="center"/>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08/办公用品</w:t>
            </w:r>
          </w:p>
        </w:tc>
        <w:tc>
          <w:tcPr>
            <w:tcW w:w="27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kern w:val="0"/>
                <w:sz w:val="21"/>
                <w:szCs w:val="21"/>
                <w:lang w:bidi="ar"/>
              </w:rPr>
              <w:t>办公用</w:t>
            </w:r>
            <w:r>
              <w:rPr>
                <w:rFonts w:hint="eastAsia" w:asciiTheme="minorEastAsia" w:hAnsiTheme="minorEastAsia" w:eastAsiaTheme="minorEastAsia" w:cstheme="minorEastAsia"/>
                <w:kern w:val="0"/>
                <w:sz w:val="21"/>
                <w:szCs w:val="21"/>
                <w:lang w:val="en-US" w:eastAsia="zh-CN" w:bidi="ar"/>
              </w:rPr>
              <w:t>具</w:t>
            </w: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09/印刷品</w:t>
            </w:r>
          </w:p>
        </w:tc>
        <w:tc>
          <w:tcPr>
            <w:tcW w:w="27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kern w:val="0"/>
                <w:sz w:val="21"/>
                <w:szCs w:val="21"/>
                <w:lang w:bidi="ar"/>
              </w:rPr>
              <w:t>办公用</w:t>
            </w:r>
            <w:r>
              <w:rPr>
                <w:rFonts w:hint="eastAsia" w:asciiTheme="minorEastAsia" w:hAnsiTheme="minorEastAsia" w:eastAsiaTheme="minorEastAsia" w:cstheme="minorEastAsia"/>
                <w:kern w:val="0"/>
                <w:sz w:val="21"/>
                <w:szCs w:val="21"/>
                <w:lang w:val="en-US" w:eastAsia="zh-CN" w:bidi="ar"/>
              </w:rPr>
              <w:t>具</w:t>
            </w: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10/消防应急器材</w:t>
            </w:r>
          </w:p>
        </w:tc>
        <w:tc>
          <w:tcPr>
            <w:tcW w:w="27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消防用品</w:t>
            </w: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11/食堂用具</w:t>
            </w:r>
          </w:p>
        </w:tc>
        <w:tc>
          <w:tcPr>
            <w:tcW w:w="278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w:t>
            </w:r>
          </w:p>
        </w:tc>
      </w:tr>
      <w:tr>
        <w:tblPrEx>
          <w:tblCellMar>
            <w:top w:w="0" w:type="dxa"/>
            <w:left w:w="108" w:type="dxa"/>
            <w:bottom w:w="0" w:type="dxa"/>
            <w:right w:w="108" w:type="dxa"/>
          </w:tblCellMar>
        </w:tblPrEx>
        <w:trPr>
          <w:trHeight w:val="285" w:hRule="atLeast"/>
        </w:trPr>
        <w:tc>
          <w:tcPr>
            <w:tcW w:w="450"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99/无形资产</w:t>
            </w: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01/软件使用费</w:t>
            </w:r>
          </w:p>
        </w:tc>
        <w:tc>
          <w:tcPr>
            <w:tcW w:w="2781"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kern w:val="0"/>
                <w:sz w:val="21"/>
                <w:szCs w:val="21"/>
                <w:lang w:val="en-US" w:eastAsia="zh-CN" w:bidi="ar"/>
              </w:rPr>
              <w:t>无形资产</w:t>
            </w: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02/特许权</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left"/>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03/商标权</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left"/>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04/专利权</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left"/>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05/专有技术权</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left"/>
              <w:rPr>
                <w:rFonts w:hint="eastAsia" w:asciiTheme="minorEastAsia" w:hAnsiTheme="minorEastAsia" w:eastAsiaTheme="minorEastAsia" w:cstheme="minorEastAsia"/>
                <w:sz w:val="21"/>
                <w:szCs w:val="21"/>
              </w:rPr>
            </w:pPr>
          </w:p>
        </w:tc>
      </w:tr>
      <w:tr>
        <w:tblPrEx>
          <w:tblCellMar>
            <w:top w:w="0" w:type="dxa"/>
            <w:left w:w="108" w:type="dxa"/>
            <w:bottom w:w="0" w:type="dxa"/>
            <w:right w:w="108" w:type="dxa"/>
          </w:tblCellMar>
        </w:tblPrEx>
        <w:trPr>
          <w:trHeight w:val="285" w:hRule="atLeast"/>
        </w:trPr>
        <w:tc>
          <w:tcPr>
            <w:tcW w:w="45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Theme="minorEastAsia" w:hAnsiTheme="minorEastAsia" w:eastAsiaTheme="minorEastAsia" w:cstheme="minorEastAsia"/>
                <w:sz w:val="21"/>
                <w:szCs w:val="21"/>
              </w:rPr>
            </w:pPr>
          </w:p>
        </w:tc>
        <w:tc>
          <w:tcPr>
            <w:tcW w:w="176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kern w:val="0"/>
                <w:sz w:val="21"/>
                <w:szCs w:val="21"/>
                <w:lang w:bidi="ar"/>
              </w:rPr>
              <w:t>06/土地使用权</w:t>
            </w:r>
          </w:p>
        </w:tc>
        <w:tc>
          <w:tcPr>
            <w:tcW w:w="2781"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left"/>
              <w:rPr>
                <w:rFonts w:hint="eastAsia" w:asciiTheme="minorEastAsia" w:hAnsiTheme="minorEastAsia" w:eastAsiaTheme="minorEastAsia" w:cstheme="minorEastAsia"/>
                <w:sz w:val="21"/>
                <w:szCs w:val="21"/>
              </w:rPr>
            </w:pPr>
          </w:p>
        </w:tc>
      </w:tr>
    </w:tbl>
    <w:p>
      <w:pPr>
        <w:pStyle w:val="4"/>
        <w:spacing w:line="560" w:lineRule="exact"/>
        <w:rPr>
          <w:rFonts w:ascii="黑体" w:hAnsi="黑体" w:eastAsia="黑体" w:cs="黑体"/>
          <w:sz w:val="32"/>
          <w:szCs w:val="32"/>
        </w:rPr>
      </w:pPr>
    </w:p>
    <w:p>
      <w:pPr>
        <w:spacing w:line="560" w:lineRule="exact"/>
        <w:ind w:firstLine="640" w:firstLineChars="200"/>
        <w:jc w:val="center"/>
        <w:rPr>
          <w:rFonts w:ascii="Times New Roman" w:hAnsi="Times New Roman" w:eastAsia="仿宋_GB2312" w:cs="仿宋_GB2312"/>
          <w:sz w:val="32"/>
          <w:szCs w:val="32"/>
          <w:lang w:bidi="ar"/>
        </w:rPr>
      </w:pPr>
    </w:p>
    <w:p>
      <w:pPr>
        <w:rPr>
          <w:rFonts w:ascii="Times New Roman" w:hAnsi="Times New Roman" w:eastAsia="仿宋_GB2312" w:cs="仿宋_GB2312"/>
          <w:sz w:val="32"/>
          <w:szCs w:val="32"/>
          <w:lang w:bidi="ar"/>
        </w:rPr>
      </w:pPr>
      <w:r>
        <w:rPr>
          <w:rFonts w:ascii="Times New Roman" w:hAnsi="Times New Roman" w:eastAsia="仿宋_GB2312" w:cs="仿宋_GB2312"/>
          <w:sz w:val="32"/>
          <w:szCs w:val="32"/>
          <w:lang w:bidi="ar"/>
        </w:rPr>
        <w:br w:type="page"/>
      </w:r>
    </w:p>
    <w:p>
      <w:pPr>
        <w:spacing w:line="560" w:lineRule="exact"/>
        <w:ind w:firstLine="643" w:firstLineChars="200"/>
        <w:jc w:val="center"/>
        <w:rPr>
          <w:rFonts w:ascii="Times New Roman" w:hAnsi="Times New Roman" w:eastAsia="仿宋_GB2312" w:cs="仿宋_GB2312"/>
          <w:b/>
          <w:bCs/>
          <w:sz w:val="32"/>
          <w:szCs w:val="32"/>
          <w:lang w:bidi="ar"/>
        </w:rPr>
        <w:sectPr>
          <w:pgSz w:w="11906" w:h="16838"/>
          <w:pgMar w:top="2098" w:right="1474" w:bottom="1984" w:left="1587" w:header="851" w:footer="992" w:gutter="0"/>
          <w:pgNumType w:fmt="numberInDash" w:start="1"/>
          <w:cols w:space="0" w:num="1"/>
          <w:docGrid w:type="lines" w:linePitch="318" w:charSpace="0"/>
        </w:sectPr>
      </w:pPr>
    </w:p>
    <w:p>
      <w:pPr>
        <w:spacing w:line="560" w:lineRule="exact"/>
        <w:jc w:val="left"/>
        <w:outlineLvl w:val="0"/>
        <w:rPr>
          <w:rFonts w:ascii="黑体" w:hAnsi="黑体" w:eastAsia="黑体" w:cs="黑体"/>
          <w:sz w:val="32"/>
          <w:szCs w:val="32"/>
          <w:lang w:bidi="ar"/>
        </w:rPr>
      </w:pPr>
      <w:r>
        <w:rPr>
          <w:rFonts w:hint="eastAsia" w:ascii="黑体" w:hAnsi="黑体" w:eastAsia="黑体" w:cs="黑体"/>
          <w:sz w:val="32"/>
          <w:szCs w:val="32"/>
          <w:lang w:bidi="ar"/>
        </w:rPr>
        <w:t>附件</w:t>
      </w:r>
      <w:r>
        <w:rPr>
          <w:rFonts w:ascii="黑体" w:hAnsi="黑体" w:eastAsia="黑体" w:cs="黑体"/>
          <w:sz w:val="32"/>
          <w:szCs w:val="32"/>
          <w:lang w:bidi="ar"/>
        </w:rPr>
        <w:t>2：</w:t>
      </w:r>
    </w:p>
    <w:p>
      <w:pPr>
        <w:spacing w:line="560" w:lineRule="exact"/>
        <w:jc w:val="center"/>
        <w:rPr>
          <w:rFonts w:ascii="方正小标宋简体" w:hAnsi="Times New Roman" w:eastAsia="方正小标宋简体" w:cs="仿宋_GB2312"/>
          <w:sz w:val="44"/>
          <w:szCs w:val="44"/>
          <w:lang w:bidi="ar"/>
        </w:rPr>
      </w:pPr>
      <w:r>
        <w:rPr>
          <w:rFonts w:hint="eastAsia" w:ascii="方正小标宋简体" w:hAnsi="Times New Roman" w:eastAsia="方正小标宋简体" w:cs="仿宋_GB2312"/>
          <w:sz w:val="44"/>
          <w:szCs w:val="44"/>
          <w:lang w:bidi="ar"/>
        </w:rPr>
        <w:t>编码申请</w:t>
      </w:r>
      <w:r>
        <w:rPr>
          <w:rFonts w:ascii="方正小标宋简体" w:hAnsi="Times New Roman" w:eastAsia="方正小标宋简体" w:cs="仿宋_GB2312"/>
          <w:sz w:val="44"/>
          <w:szCs w:val="44"/>
          <w:lang w:bidi="ar"/>
        </w:rPr>
        <w:t>/</w:t>
      </w:r>
      <w:r>
        <w:rPr>
          <w:rFonts w:hint="eastAsia" w:ascii="方正小标宋简体" w:hAnsi="Times New Roman" w:eastAsia="方正小标宋简体" w:cs="仿宋_GB2312"/>
          <w:sz w:val="44"/>
          <w:szCs w:val="44"/>
          <w:lang w:bidi="ar"/>
        </w:rPr>
        <w:t>修订自查问题表</w:t>
      </w:r>
    </w:p>
    <w:tbl>
      <w:tblPr>
        <w:tblStyle w:val="10"/>
        <w:tblW w:w="5935" w:type="pct"/>
        <w:tblInd w:w="-1499" w:type="dxa"/>
        <w:tblLayout w:type="fixed"/>
        <w:tblCellMar>
          <w:top w:w="0" w:type="dxa"/>
          <w:left w:w="108" w:type="dxa"/>
          <w:bottom w:w="0" w:type="dxa"/>
          <w:right w:w="108" w:type="dxa"/>
        </w:tblCellMar>
      </w:tblPr>
      <w:tblGrid>
        <w:gridCol w:w="791"/>
        <w:gridCol w:w="270"/>
        <w:gridCol w:w="1724"/>
        <w:gridCol w:w="660"/>
        <w:gridCol w:w="690"/>
        <w:gridCol w:w="735"/>
        <w:gridCol w:w="615"/>
        <w:gridCol w:w="720"/>
        <w:gridCol w:w="1095"/>
        <w:gridCol w:w="855"/>
        <w:gridCol w:w="750"/>
        <w:gridCol w:w="765"/>
        <w:gridCol w:w="690"/>
        <w:gridCol w:w="690"/>
        <w:gridCol w:w="600"/>
        <w:gridCol w:w="615"/>
        <w:gridCol w:w="795"/>
        <w:gridCol w:w="585"/>
        <w:gridCol w:w="570"/>
        <w:gridCol w:w="555"/>
        <w:gridCol w:w="630"/>
      </w:tblGrid>
      <w:tr>
        <w:tblPrEx>
          <w:tblCellMar>
            <w:top w:w="0" w:type="dxa"/>
            <w:left w:w="108" w:type="dxa"/>
            <w:bottom w:w="0" w:type="dxa"/>
            <w:right w:w="108" w:type="dxa"/>
          </w:tblCellMar>
        </w:tblPrEx>
        <w:trPr>
          <w:trHeight w:val="580" w:hRule="atLeast"/>
        </w:trPr>
        <w:tc>
          <w:tcPr>
            <w:tcW w:w="5000" w:type="pct"/>
            <w:gridSpan w:val="21"/>
            <w:tcBorders>
              <w:top w:val="nil"/>
              <w:left w:val="nil"/>
              <w:bottom w:val="nil"/>
              <w:right w:val="nil"/>
            </w:tcBorders>
            <w:shd w:val="clear" w:color="auto" w:fill="auto"/>
            <w:noWrap/>
            <w:vAlign w:val="center"/>
          </w:tcPr>
          <w:p>
            <w:pPr>
              <w:widowControl/>
              <w:jc w:val="center"/>
              <w:textAlignment w:val="center"/>
              <w:rPr>
                <w:rFonts w:ascii="宋体" w:hAnsi="宋体" w:eastAsia="宋体" w:cs="宋体"/>
                <w:b/>
                <w:bCs/>
                <w:sz w:val="48"/>
                <w:szCs w:val="48"/>
              </w:rPr>
            </w:pPr>
          </w:p>
        </w:tc>
      </w:tr>
      <w:tr>
        <w:tblPrEx>
          <w:tblCellMar>
            <w:top w:w="0" w:type="dxa"/>
            <w:left w:w="108" w:type="dxa"/>
            <w:bottom w:w="0" w:type="dxa"/>
            <w:right w:w="108" w:type="dxa"/>
          </w:tblCellMar>
        </w:tblPrEx>
        <w:trPr>
          <w:trHeight w:val="300" w:hRule="atLeast"/>
        </w:trPr>
        <w:tc>
          <w:tcPr>
            <w:tcW w:w="256" w:type="pct"/>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pPr>
              <w:widowControl/>
              <w:jc w:val="center"/>
              <w:textAlignment w:val="center"/>
              <w:rPr>
                <w:rFonts w:ascii="宋体" w:hAnsi="宋体" w:eastAsia="宋体" w:cs="宋体"/>
                <w:b/>
                <w:bCs/>
                <w:sz w:val="15"/>
                <w:szCs w:val="15"/>
              </w:rPr>
            </w:pPr>
            <w:r>
              <w:rPr>
                <w:rStyle w:val="29"/>
                <w:rFonts w:hint="default"/>
                <w:color w:val="auto"/>
                <w:sz w:val="15"/>
                <w:szCs w:val="15"/>
                <w:lang w:bidi="ar"/>
              </w:rPr>
              <w:t>编码申请单号/物资编码</w:t>
            </w:r>
          </w:p>
        </w:tc>
        <w:tc>
          <w:tcPr>
            <w:tcW w:w="87" w:type="pct"/>
            <w:vMerge w:val="restart"/>
            <w:tcBorders>
              <w:top w:val="single" w:color="000000" w:sz="8" w:space="0"/>
              <w:left w:val="nil"/>
              <w:bottom w:val="single" w:color="000000" w:sz="8" w:space="0"/>
              <w:right w:val="single" w:color="000000" w:sz="8" w:space="0"/>
            </w:tcBorders>
            <w:shd w:val="clear" w:color="auto" w:fill="auto"/>
            <w:vAlign w:val="center"/>
          </w:tcPr>
          <w:p>
            <w:pPr>
              <w:widowControl/>
              <w:jc w:val="center"/>
              <w:textAlignment w:val="center"/>
              <w:rPr>
                <w:rFonts w:ascii="宋体" w:hAnsi="宋体" w:eastAsia="宋体" w:cs="宋体"/>
                <w:b/>
                <w:bCs/>
                <w:sz w:val="15"/>
                <w:szCs w:val="15"/>
              </w:rPr>
            </w:pPr>
            <w:r>
              <w:rPr>
                <w:rStyle w:val="29"/>
                <w:rFonts w:hint="default"/>
                <w:color w:val="auto"/>
                <w:sz w:val="15"/>
                <w:szCs w:val="15"/>
                <w:lang w:bidi="ar"/>
              </w:rPr>
              <w:t>行号</w:t>
            </w:r>
          </w:p>
        </w:tc>
        <w:tc>
          <w:tcPr>
            <w:tcW w:w="559" w:type="pct"/>
            <w:vMerge w:val="restart"/>
            <w:tcBorders>
              <w:top w:val="single" w:color="000000" w:sz="8" w:space="0"/>
              <w:left w:val="nil"/>
              <w:bottom w:val="single" w:color="000000" w:sz="8" w:space="0"/>
              <w:right w:val="single" w:color="000000" w:sz="8" w:space="0"/>
            </w:tcBorders>
            <w:shd w:val="clear" w:color="auto" w:fill="auto"/>
            <w:vAlign w:val="center"/>
          </w:tcPr>
          <w:p>
            <w:pPr>
              <w:widowControl/>
              <w:jc w:val="center"/>
              <w:textAlignment w:val="center"/>
              <w:rPr>
                <w:rFonts w:ascii="宋体" w:hAnsi="宋体" w:eastAsia="宋体" w:cs="宋体"/>
                <w:b/>
                <w:bCs/>
                <w:sz w:val="15"/>
                <w:szCs w:val="15"/>
              </w:rPr>
            </w:pPr>
            <w:r>
              <w:rPr>
                <w:rStyle w:val="29"/>
                <w:rFonts w:hint="default"/>
                <w:color w:val="auto"/>
                <w:sz w:val="15"/>
                <w:szCs w:val="15"/>
                <w:lang w:bidi="ar"/>
              </w:rPr>
              <w:t>物资说明</w:t>
            </w:r>
          </w:p>
        </w:tc>
        <w:tc>
          <w:tcPr>
            <w:tcW w:w="4095" w:type="pct"/>
            <w:gridSpan w:val="18"/>
            <w:tcBorders>
              <w:top w:val="single" w:color="000000" w:sz="8" w:space="0"/>
              <w:left w:val="nil"/>
              <w:bottom w:val="single" w:color="000000" w:sz="8" w:space="0"/>
              <w:right w:val="single" w:color="000000" w:sz="8" w:space="0"/>
            </w:tcBorders>
            <w:shd w:val="clear" w:color="auto" w:fill="auto"/>
            <w:noWrap/>
            <w:vAlign w:val="center"/>
          </w:tcPr>
          <w:p>
            <w:pPr>
              <w:widowControl/>
              <w:jc w:val="center"/>
              <w:textAlignment w:val="center"/>
              <w:rPr>
                <w:rFonts w:ascii="宋体" w:hAnsi="宋体" w:eastAsia="宋体" w:cs="宋体"/>
                <w:b/>
                <w:bCs/>
                <w:sz w:val="16"/>
                <w:szCs w:val="16"/>
              </w:rPr>
            </w:pPr>
            <w:r>
              <w:rPr>
                <w:rStyle w:val="30"/>
                <w:rFonts w:hint="default"/>
                <w:color w:val="auto"/>
                <w:sz w:val="16"/>
                <w:szCs w:val="16"/>
                <w:lang w:bidi="ar"/>
              </w:rPr>
              <w:t>自查问题内容</w:t>
            </w:r>
          </w:p>
        </w:tc>
      </w:tr>
      <w:tr>
        <w:tblPrEx>
          <w:tblCellMar>
            <w:top w:w="0" w:type="dxa"/>
            <w:left w:w="108" w:type="dxa"/>
            <w:bottom w:w="0" w:type="dxa"/>
            <w:right w:w="108" w:type="dxa"/>
          </w:tblCellMar>
        </w:tblPrEx>
        <w:trPr>
          <w:trHeight w:val="1360" w:hRule="atLeast"/>
        </w:trPr>
        <w:tc>
          <w:tcPr>
            <w:tcW w:w="256" w:type="pct"/>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pPr>
              <w:jc w:val="center"/>
              <w:rPr>
                <w:rFonts w:ascii="宋体" w:hAnsi="宋体" w:eastAsia="宋体" w:cs="宋体"/>
                <w:b/>
                <w:bCs/>
                <w:sz w:val="15"/>
                <w:szCs w:val="15"/>
              </w:rPr>
            </w:pPr>
          </w:p>
        </w:tc>
        <w:tc>
          <w:tcPr>
            <w:tcW w:w="87" w:type="pct"/>
            <w:vMerge w:val="continue"/>
            <w:tcBorders>
              <w:top w:val="single" w:color="000000" w:sz="8" w:space="0"/>
              <w:left w:val="nil"/>
              <w:bottom w:val="single" w:color="000000" w:sz="8" w:space="0"/>
              <w:right w:val="single" w:color="000000" w:sz="8" w:space="0"/>
            </w:tcBorders>
            <w:shd w:val="clear" w:color="auto" w:fill="auto"/>
            <w:vAlign w:val="center"/>
          </w:tcPr>
          <w:p>
            <w:pPr>
              <w:jc w:val="center"/>
              <w:rPr>
                <w:rFonts w:ascii="宋体" w:hAnsi="宋体" w:eastAsia="宋体" w:cs="宋体"/>
                <w:b/>
                <w:bCs/>
                <w:sz w:val="15"/>
                <w:szCs w:val="15"/>
              </w:rPr>
            </w:pPr>
          </w:p>
        </w:tc>
        <w:tc>
          <w:tcPr>
            <w:tcW w:w="559" w:type="pct"/>
            <w:vMerge w:val="continue"/>
            <w:tcBorders>
              <w:top w:val="single" w:color="000000" w:sz="8" w:space="0"/>
              <w:left w:val="nil"/>
              <w:bottom w:val="single" w:color="000000" w:sz="8" w:space="0"/>
              <w:right w:val="single" w:color="000000" w:sz="8" w:space="0"/>
            </w:tcBorders>
            <w:shd w:val="clear" w:color="auto" w:fill="auto"/>
            <w:vAlign w:val="center"/>
          </w:tcPr>
          <w:p>
            <w:pPr>
              <w:jc w:val="center"/>
              <w:rPr>
                <w:rFonts w:ascii="宋体" w:hAnsi="宋体" w:eastAsia="宋体" w:cs="宋体"/>
                <w:b/>
                <w:bCs/>
                <w:sz w:val="15"/>
                <w:szCs w:val="15"/>
              </w:rPr>
            </w:pPr>
          </w:p>
        </w:tc>
        <w:tc>
          <w:tcPr>
            <w:tcW w:w="214" w:type="pct"/>
            <w:tcBorders>
              <w:top w:val="nil"/>
              <w:left w:val="nil"/>
              <w:bottom w:val="nil"/>
              <w:right w:val="single" w:color="000000" w:sz="8" w:space="0"/>
            </w:tcBorders>
            <w:shd w:val="clear" w:color="auto" w:fill="auto"/>
          </w:tcPr>
          <w:p>
            <w:pPr>
              <w:widowControl/>
              <w:jc w:val="center"/>
              <w:textAlignment w:val="top"/>
              <w:rPr>
                <w:rFonts w:ascii="宋体" w:hAnsi="宋体" w:eastAsia="宋体" w:cs="宋体"/>
                <w:sz w:val="15"/>
                <w:szCs w:val="15"/>
              </w:rPr>
            </w:pPr>
            <w:r>
              <w:rPr>
                <w:rStyle w:val="31"/>
                <w:rFonts w:hint="default"/>
                <w:color w:val="auto"/>
                <w:sz w:val="15"/>
                <w:szCs w:val="15"/>
                <w:lang w:bidi="ar"/>
              </w:rPr>
              <w:t>编码库内是否存在可用编码</w:t>
            </w:r>
          </w:p>
        </w:tc>
        <w:tc>
          <w:tcPr>
            <w:tcW w:w="224" w:type="pct"/>
            <w:tcBorders>
              <w:top w:val="nil"/>
              <w:left w:val="nil"/>
              <w:bottom w:val="nil"/>
              <w:right w:val="single" w:color="000000" w:sz="8" w:space="0"/>
            </w:tcBorders>
            <w:shd w:val="clear" w:color="auto" w:fill="auto"/>
          </w:tcPr>
          <w:p>
            <w:pPr>
              <w:widowControl/>
              <w:jc w:val="center"/>
              <w:textAlignment w:val="top"/>
              <w:rPr>
                <w:rFonts w:ascii="宋体" w:hAnsi="宋体" w:eastAsia="宋体" w:cs="宋体"/>
                <w:sz w:val="15"/>
                <w:szCs w:val="15"/>
              </w:rPr>
            </w:pPr>
            <w:r>
              <w:rPr>
                <w:rFonts w:hint="eastAsia" w:ascii="宋体" w:hAnsi="宋体" w:eastAsia="宋体" w:cs="宋体"/>
                <w:kern w:val="0"/>
                <w:sz w:val="15"/>
                <w:szCs w:val="15"/>
                <w:lang w:bidi="ar"/>
              </w:rPr>
              <w:t>新增编码原因/用途</w:t>
            </w:r>
          </w:p>
        </w:tc>
        <w:tc>
          <w:tcPr>
            <w:tcW w:w="238" w:type="pct"/>
            <w:tcBorders>
              <w:top w:val="nil"/>
              <w:left w:val="nil"/>
              <w:bottom w:val="nil"/>
              <w:right w:val="single" w:color="000000" w:sz="8" w:space="0"/>
            </w:tcBorders>
            <w:shd w:val="clear" w:color="auto" w:fill="auto"/>
          </w:tcPr>
          <w:p>
            <w:pPr>
              <w:widowControl/>
              <w:jc w:val="center"/>
              <w:textAlignment w:val="top"/>
              <w:rPr>
                <w:rFonts w:ascii="宋体" w:hAnsi="宋体" w:eastAsia="宋体" w:cs="宋体"/>
                <w:sz w:val="15"/>
                <w:szCs w:val="15"/>
              </w:rPr>
            </w:pPr>
            <w:r>
              <w:rPr>
                <w:rFonts w:hint="eastAsia" w:ascii="宋体" w:hAnsi="宋体" w:eastAsia="宋体" w:cs="宋体"/>
                <w:kern w:val="0"/>
                <w:sz w:val="15"/>
                <w:szCs w:val="15"/>
                <w:lang w:bidi="ar"/>
              </w:rPr>
              <w:t>替代/映射编码（新编码批准后、停用）</w:t>
            </w:r>
          </w:p>
        </w:tc>
        <w:tc>
          <w:tcPr>
            <w:tcW w:w="199" w:type="pct"/>
            <w:tcBorders>
              <w:top w:val="nil"/>
              <w:left w:val="nil"/>
              <w:bottom w:val="nil"/>
              <w:right w:val="single" w:color="000000" w:sz="8" w:space="0"/>
            </w:tcBorders>
            <w:shd w:val="clear" w:color="auto" w:fill="auto"/>
          </w:tcPr>
          <w:p>
            <w:pPr>
              <w:widowControl/>
              <w:jc w:val="center"/>
              <w:textAlignment w:val="top"/>
              <w:rPr>
                <w:rFonts w:ascii="宋体" w:hAnsi="宋体" w:eastAsia="宋体" w:cs="宋体"/>
                <w:sz w:val="15"/>
                <w:szCs w:val="15"/>
              </w:rPr>
            </w:pPr>
            <w:r>
              <w:rPr>
                <w:rFonts w:hint="eastAsia" w:ascii="宋体" w:hAnsi="宋体" w:eastAsia="宋体" w:cs="宋体"/>
                <w:kern w:val="0"/>
                <w:sz w:val="15"/>
                <w:szCs w:val="15"/>
                <w:lang w:bidi="ar"/>
              </w:rPr>
              <w:t>替代/映射编码物资说明</w:t>
            </w:r>
          </w:p>
        </w:tc>
        <w:tc>
          <w:tcPr>
            <w:tcW w:w="233" w:type="pct"/>
            <w:tcBorders>
              <w:top w:val="single" w:color="000000" w:sz="8" w:space="0"/>
              <w:left w:val="nil"/>
              <w:bottom w:val="nil"/>
              <w:right w:val="single" w:color="000000" w:sz="8" w:space="0"/>
            </w:tcBorders>
            <w:shd w:val="clear" w:color="auto" w:fill="auto"/>
          </w:tcPr>
          <w:p>
            <w:pPr>
              <w:widowControl/>
              <w:jc w:val="center"/>
              <w:textAlignment w:val="top"/>
              <w:rPr>
                <w:rFonts w:ascii="宋体" w:hAnsi="宋体" w:eastAsia="宋体" w:cs="宋体"/>
                <w:sz w:val="15"/>
                <w:szCs w:val="15"/>
              </w:rPr>
            </w:pPr>
            <w:r>
              <w:rPr>
                <w:rStyle w:val="31"/>
                <w:rFonts w:hint="default"/>
                <w:color w:val="auto"/>
                <w:sz w:val="15"/>
                <w:szCs w:val="15"/>
                <w:lang w:bidi="ar"/>
              </w:rPr>
              <w:t>编码物资说明是否符合规范性要求</w:t>
            </w:r>
          </w:p>
        </w:tc>
        <w:tc>
          <w:tcPr>
            <w:tcW w:w="355" w:type="pct"/>
            <w:tcBorders>
              <w:top w:val="single" w:color="000000" w:sz="8" w:space="0"/>
              <w:left w:val="nil"/>
              <w:bottom w:val="nil"/>
              <w:right w:val="single" w:color="000000" w:sz="8" w:space="0"/>
            </w:tcBorders>
            <w:shd w:val="clear" w:color="auto" w:fill="auto"/>
          </w:tcPr>
          <w:p>
            <w:pPr>
              <w:widowControl/>
              <w:jc w:val="center"/>
              <w:textAlignment w:val="top"/>
              <w:rPr>
                <w:rFonts w:ascii="宋体" w:hAnsi="宋体" w:eastAsia="宋体" w:cs="宋体"/>
                <w:sz w:val="15"/>
                <w:szCs w:val="15"/>
              </w:rPr>
            </w:pPr>
            <w:r>
              <w:rPr>
                <w:rStyle w:val="31"/>
                <w:rFonts w:hint="default"/>
                <w:color w:val="auto"/>
                <w:sz w:val="15"/>
                <w:szCs w:val="15"/>
                <w:lang w:bidi="ar"/>
              </w:rPr>
              <w:t>物资说明品牌/厂商信息填写是否为生产厂商，而非集成商或代理商</w:t>
            </w:r>
          </w:p>
        </w:tc>
        <w:tc>
          <w:tcPr>
            <w:tcW w:w="277" w:type="pct"/>
            <w:tcBorders>
              <w:top w:val="single" w:color="000000" w:sz="8" w:space="0"/>
              <w:left w:val="nil"/>
              <w:bottom w:val="nil"/>
              <w:right w:val="single" w:color="000000" w:sz="8" w:space="0"/>
            </w:tcBorders>
            <w:shd w:val="clear" w:color="auto" w:fill="auto"/>
          </w:tcPr>
          <w:p>
            <w:pPr>
              <w:widowControl/>
              <w:jc w:val="center"/>
              <w:textAlignment w:val="top"/>
              <w:rPr>
                <w:rFonts w:ascii="宋体" w:hAnsi="宋体" w:eastAsia="宋体" w:cs="宋体"/>
                <w:sz w:val="15"/>
                <w:szCs w:val="15"/>
              </w:rPr>
            </w:pPr>
            <w:r>
              <w:rPr>
                <w:rStyle w:val="31"/>
                <w:rFonts w:hint="default"/>
                <w:color w:val="auto"/>
                <w:sz w:val="15"/>
                <w:szCs w:val="15"/>
                <w:lang w:bidi="ar"/>
              </w:rPr>
              <w:t>关键性参数（型号、材质、标准号、尺寸等）是否已明确？是否符合现场需要</w:t>
            </w:r>
          </w:p>
        </w:tc>
        <w:tc>
          <w:tcPr>
            <w:tcW w:w="243" w:type="pct"/>
            <w:tcBorders>
              <w:top w:val="single" w:color="000000" w:sz="8" w:space="0"/>
              <w:left w:val="nil"/>
              <w:bottom w:val="nil"/>
              <w:right w:val="single" w:color="000000" w:sz="8" w:space="0"/>
            </w:tcBorders>
            <w:shd w:val="clear" w:color="auto" w:fill="auto"/>
          </w:tcPr>
          <w:p>
            <w:pPr>
              <w:widowControl/>
              <w:jc w:val="center"/>
              <w:textAlignment w:val="top"/>
              <w:rPr>
                <w:rFonts w:ascii="宋体" w:hAnsi="宋体" w:eastAsia="宋体" w:cs="宋体"/>
                <w:sz w:val="15"/>
                <w:szCs w:val="15"/>
              </w:rPr>
            </w:pPr>
            <w:r>
              <w:rPr>
                <w:rStyle w:val="31"/>
                <w:rFonts w:hint="default"/>
                <w:color w:val="auto"/>
                <w:sz w:val="15"/>
                <w:szCs w:val="15"/>
                <w:lang w:bidi="ar"/>
              </w:rPr>
              <w:t>非关键参数、非必要的功能原则上不要体现在参数中，</w:t>
            </w:r>
            <w:r>
              <w:rPr>
                <w:rStyle w:val="32"/>
                <w:rFonts w:hint="default"/>
                <w:color w:val="auto"/>
                <w:sz w:val="15"/>
                <w:szCs w:val="15"/>
                <w:lang w:bidi="ar"/>
              </w:rPr>
              <w:t>是否已按照要求填写</w:t>
            </w:r>
          </w:p>
        </w:tc>
        <w:tc>
          <w:tcPr>
            <w:tcW w:w="248" w:type="pct"/>
            <w:tcBorders>
              <w:top w:val="single" w:color="000000" w:sz="8" w:space="0"/>
              <w:left w:val="nil"/>
              <w:bottom w:val="nil"/>
              <w:right w:val="single" w:color="000000" w:sz="8" w:space="0"/>
            </w:tcBorders>
            <w:shd w:val="clear" w:color="auto" w:fill="auto"/>
          </w:tcPr>
          <w:p>
            <w:pPr>
              <w:widowControl/>
              <w:jc w:val="center"/>
              <w:textAlignment w:val="top"/>
              <w:rPr>
                <w:rFonts w:ascii="宋体" w:hAnsi="宋体" w:eastAsia="宋体" w:cs="宋体"/>
                <w:sz w:val="15"/>
                <w:szCs w:val="15"/>
              </w:rPr>
            </w:pPr>
            <w:r>
              <w:rPr>
                <w:rStyle w:val="31"/>
                <w:rFonts w:hint="default"/>
                <w:color w:val="auto"/>
                <w:sz w:val="15"/>
                <w:szCs w:val="15"/>
                <w:lang w:bidi="ar"/>
              </w:rPr>
              <w:t>物资说明内尺寸参数是否可划定为一个范围值（范围值可避免采购实物出现不影响使用的细微偏差导致的需求澄清）</w:t>
            </w:r>
          </w:p>
        </w:tc>
        <w:tc>
          <w:tcPr>
            <w:tcW w:w="224" w:type="pct"/>
            <w:tcBorders>
              <w:top w:val="single" w:color="000000" w:sz="8" w:space="0"/>
              <w:left w:val="nil"/>
              <w:bottom w:val="nil"/>
              <w:right w:val="single" w:color="000000" w:sz="8" w:space="0"/>
            </w:tcBorders>
            <w:shd w:val="clear" w:color="auto" w:fill="auto"/>
          </w:tcPr>
          <w:p>
            <w:pPr>
              <w:widowControl/>
              <w:jc w:val="center"/>
              <w:textAlignment w:val="top"/>
              <w:rPr>
                <w:rFonts w:ascii="宋体" w:hAnsi="宋体" w:eastAsia="宋体" w:cs="宋体"/>
                <w:sz w:val="15"/>
                <w:szCs w:val="15"/>
              </w:rPr>
            </w:pPr>
            <w:r>
              <w:rPr>
                <w:rStyle w:val="31"/>
                <w:rFonts w:hint="default"/>
                <w:color w:val="auto"/>
                <w:sz w:val="15"/>
                <w:szCs w:val="15"/>
                <w:lang w:bidi="ar"/>
              </w:rPr>
              <w:t>通用类物资的型号是否具有品牌指向性</w:t>
            </w:r>
          </w:p>
        </w:tc>
        <w:tc>
          <w:tcPr>
            <w:tcW w:w="224" w:type="pct"/>
            <w:tcBorders>
              <w:top w:val="single" w:color="000000" w:sz="8" w:space="0"/>
              <w:left w:val="nil"/>
              <w:bottom w:val="nil"/>
              <w:right w:val="single" w:color="000000" w:sz="8" w:space="0"/>
            </w:tcBorders>
            <w:shd w:val="clear" w:color="auto" w:fill="auto"/>
          </w:tcPr>
          <w:p>
            <w:pPr>
              <w:widowControl/>
              <w:jc w:val="center"/>
              <w:textAlignment w:val="top"/>
              <w:rPr>
                <w:rFonts w:ascii="宋体" w:hAnsi="宋体" w:eastAsia="宋体" w:cs="宋体"/>
                <w:sz w:val="15"/>
                <w:szCs w:val="15"/>
              </w:rPr>
            </w:pPr>
            <w:r>
              <w:rPr>
                <w:rStyle w:val="31"/>
                <w:rFonts w:hint="default"/>
                <w:color w:val="auto"/>
                <w:sz w:val="15"/>
                <w:szCs w:val="15"/>
                <w:lang w:bidi="ar"/>
              </w:rPr>
              <w:t>选型类物资的参数是否具有多个选型品牌的兼容性</w:t>
            </w:r>
          </w:p>
        </w:tc>
        <w:tc>
          <w:tcPr>
            <w:tcW w:w="194" w:type="pct"/>
            <w:tcBorders>
              <w:top w:val="single" w:color="000000" w:sz="8" w:space="0"/>
              <w:left w:val="nil"/>
              <w:bottom w:val="nil"/>
              <w:right w:val="single" w:color="000000" w:sz="8" w:space="0"/>
            </w:tcBorders>
            <w:shd w:val="clear" w:color="auto" w:fill="auto"/>
          </w:tcPr>
          <w:p>
            <w:pPr>
              <w:widowControl/>
              <w:jc w:val="center"/>
              <w:textAlignment w:val="top"/>
              <w:rPr>
                <w:rFonts w:ascii="宋体" w:hAnsi="宋体" w:eastAsia="宋体" w:cs="宋体"/>
                <w:sz w:val="15"/>
                <w:szCs w:val="15"/>
              </w:rPr>
            </w:pPr>
            <w:r>
              <w:rPr>
                <w:rStyle w:val="31"/>
                <w:rFonts w:hint="default"/>
                <w:color w:val="auto"/>
                <w:sz w:val="15"/>
                <w:szCs w:val="15"/>
                <w:lang w:bidi="ar"/>
              </w:rPr>
              <w:t>具有“安装”需求的物资，是否已提前沟通审核部门，并提供详细用户需求书</w:t>
            </w:r>
          </w:p>
        </w:tc>
        <w:tc>
          <w:tcPr>
            <w:tcW w:w="199" w:type="pct"/>
            <w:tcBorders>
              <w:top w:val="single" w:color="000000" w:sz="8" w:space="0"/>
              <w:left w:val="nil"/>
              <w:bottom w:val="nil"/>
              <w:right w:val="single" w:color="000000" w:sz="8" w:space="0"/>
            </w:tcBorders>
            <w:shd w:val="clear" w:color="auto" w:fill="auto"/>
          </w:tcPr>
          <w:p>
            <w:pPr>
              <w:widowControl/>
              <w:jc w:val="center"/>
              <w:textAlignment w:val="top"/>
              <w:rPr>
                <w:rFonts w:ascii="宋体" w:hAnsi="宋体" w:eastAsia="宋体" w:cs="宋体"/>
                <w:sz w:val="15"/>
                <w:szCs w:val="15"/>
              </w:rPr>
            </w:pPr>
            <w:r>
              <w:rPr>
                <w:rStyle w:val="31"/>
                <w:rFonts w:hint="default"/>
                <w:color w:val="auto"/>
                <w:sz w:val="15"/>
                <w:szCs w:val="15"/>
                <w:lang w:bidi="ar"/>
              </w:rPr>
              <w:t>近期是否已调研更新预算指导价</w:t>
            </w:r>
          </w:p>
        </w:tc>
        <w:tc>
          <w:tcPr>
            <w:tcW w:w="258" w:type="pct"/>
            <w:tcBorders>
              <w:top w:val="single" w:color="000000" w:sz="8" w:space="0"/>
              <w:left w:val="nil"/>
              <w:bottom w:val="nil"/>
              <w:right w:val="single" w:color="000000" w:sz="8" w:space="0"/>
            </w:tcBorders>
            <w:shd w:val="clear" w:color="auto" w:fill="auto"/>
          </w:tcPr>
          <w:p>
            <w:pPr>
              <w:widowControl/>
              <w:jc w:val="center"/>
              <w:textAlignment w:val="top"/>
              <w:rPr>
                <w:rFonts w:ascii="宋体" w:hAnsi="宋体" w:eastAsia="宋体" w:cs="宋体"/>
                <w:sz w:val="15"/>
                <w:szCs w:val="15"/>
              </w:rPr>
            </w:pPr>
            <w:r>
              <w:rPr>
                <w:rStyle w:val="31"/>
                <w:rFonts w:hint="default"/>
                <w:color w:val="auto"/>
                <w:sz w:val="15"/>
                <w:szCs w:val="15"/>
                <w:lang w:bidi="ar"/>
              </w:rPr>
              <w:t>单位是否便于采购、验收及领料；比如不容易裁剪、切割的地板砖、钢板的单位尽量为块</w:t>
            </w:r>
          </w:p>
        </w:tc>
        <w:tc>
          <w:tcPr>
            <w:tcW w:w="189" w:type="pct"/>
            <w:tcBorders>
              <w:top w:val="single" w:color="000000" w:sz="8" w:space="0"/>
              <w:left w:val="nil"/>
              <w:bottom w:val="nil"/>
              <w:right w:val="single" w:color="000000" w:sz="8" w:space="0"/>
            </w:tcBorders>
            <w:shd w:val="clear" w:color="auto" w:fill="auto"/>
          </w:tcPr>
          <w:p>
            <w:pPr>
              <w:widowControl/>
              <w:jc w:val="center"/>
              <w:textAlignment w:val="top"/>
              <w:rPr>
                <w:rFonts w:ascii="宋体" w:hAnsi="宋体" w:eastAsia="宋体" w:cs="宋体"/>
                <w:sz w:val="15"/>
                <w:szCs w:val="15"/>
              </w:rPr>
            </w:pPr>
            <w:r>
              <w:rPr>
                <w:rStyle w:val="31"/>
                <w:rFonts w:hint="default"/>
                <w:color w:val="auto"/>
                <w:sz w:val="15"/>
                <w:szCs w:val="15"/>
                <w:lang w:bidi="ar"/>
              </w:rPr>
              <w:t>特殊单位是否在物资说明已解释说明，比如“套”、“卷”、“组”、“根”（每套包含什么，每卷多长等）</w:t>
            </w:r>
          </w:p>
        </w:tc>
        <w:tc>
          <w:tcPr>
            <w:tcW w:w="185" w:type="pct"/>
            <w:tcBorders>
              <w:top w:val="single" w:color="000000" w:sz="8" w:space="0"/>
              <w:left w:val="nil"/>
              <w:bottom w:val="nil"/>
              <w:right w:val="single" w:color="000000" w:sz="8" w:space="0"/>
            </w:tcBorders>
            <w:shd w:val="clear" w:color="auto" w:fill="auto"/>
          </w:tcPr>
          <w:p>
            <w:pPr>
              <w:widowControl/>
              <w:jc w:val="center"/>
              <w:textAlignment w:val="top"/>
              <w:rPr>
                <w:rFonts w:ascii="宋体" w:hAnsi="宋体" w:eastAsia="宋体" w:cs="宋体"/>
                <w:sz w:val="15"/>
                <w:szCs w:val="15"/>
              </w:rPr>
            </w:pPr>
            <w:r>
              <w:rPr>
                <w:rStyle w:val="31"/>
                <w:rFonts w:hint="default"/>
                <w:color w:val="auto"/>
                <w:sz w:val="15"/>
                <w:szCs w:val="15"/>
                <w:lang w:bidi="ar"/>
              </w:rPr>
              <w:t>物资类型是否与资产属性不矛盾</w:t>
            </w:r>
          </w:p>
        </w:tc>
        <w:tc>
          <w:tcPr>
            <w:tcW w:w="180" w:type="pct"/>
            <w:tcBorders>
              <w:top w:val="single" w:color="000000" w:sz="8" w:space="0"/>
              <w:left w:val="nil"/>
              <w:bottom w:val="nil"/>
              <w:right w:val="single" w:color="000000" w:sz="8" w:space="0"/>
            </w:tcBorders>
            <w:shd w:val="clear" w:color="auto" w:fill="auto"/>
          </w:tcPr>
          <w:p>
            <w:pPr>
              <w:widowControl/>
              <w:jc w:val="center"/>
              <w:textAlignment w:val="top"/>
              <w:rPr>
                <w:rFonts w:ascii="宋体" w:hAnsi="宋体" w:eastAsia="宋体" w:cs="宋体"/>
                <w:sz w:val="15"/>
                <w:szCs w:val="15"/>
              </w:rPr>
            </w:pPr>
            <w:r>
              <w:rPr>
                <w:rFonts w:hint="eastAsia" w:ascii="宋体" w:hAnsi="宋体" w:eastAsia="宋体" w:cs="宋体"/>
                <w:kern w:val="0"/>
                <w:sz w:val="15"/>
                <w:szCs w:val="15"/>
                <w:lang w:bidi="ar"/>
              </w:rPr>
              <w:t>各类物资（定制类、选型类、指定品牌类）支撑材料是否已提交</w:t>
            </w:r>
          </w:p>
        </w:tc>
        <w:tc>
          <w:tcPr>
            <w:tcW w:w="204" w:type="pct"/>
            <w:tcBorders>
              <w:top w:val="single" w:color="000000" w:sz="8" w:space="0"/>
              <w:left w:val="nil"/>
              <w:bottom w:val="nil"/>
              <w:right w:val="single" w:color="000000" w:sz="8" w:space="0"/>
            </w:tcBorders>
            <w:shd w:val="clear" w:color="auto" w:fill="auto"/>
          </w:tcPr>
          <w:p>
            <w:pPr>
              <w:widowControl/>
              <w:jc w:val="center"/>
              <w:textAlignment w:val="top"/>
              <w:rPr>
                <w:rFonts w:ascii="宋体" w:hAnsi="宋体" w:eastAsia="宋体" w:cs="宋体"/>
                <w:sz w:val="15"/>
                <w:szCs w:val="15"/>
              </w:rPr>
            </w:pPr>
            <w:r>
              <w:rPr>
                <w:rStyle w:val="31"/>
                <w:rFonts w:hint="default"/>
                <w:color w:val="auto"/>
                <w:sz w:val="15"/>
                <w:szCs w:val="15"/>
                <w:lang w:bidi="ar"/>
              </w:rPr>
              <w:t>建设移交物资是否与建设移交信息一致</w:t>
            </w:r>
          </w:p>
        </w:tc>
      </w:tr>
      <w:tr>
        <w:tblPrEx>
          <w:tblCellMar>
            <w:top w:w="0" w:type="dxa"/>
            <w:left w:w="108" w:type="dxa"/>
            <w:bottom w:w="0" w:type="dxa"/>
            <w:right w:w="108" w:type="dxa"/>
          </w:tblCellMar>
        </w:tblPrEx>
        <w:trPr>
          <w:trHeight w:val="1000" w:hRule="atLeast"/>
        </w:trPr>
        <w:tc>
          <w:tcPr>
            <w:tcW w:w="256"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right"/>
              <w:textAlignment w:val="center"/>
              <w:rPr>
                <w:rFonts w:ascii="宋体" w:hAnsi="宋体" w:eastAsia="宋体" w:cs="宋体"/>
                <w:sz w:val="15"/>
                <w:szCs w:val="15"/>
              </w:rPr>
            </w:pPr>
            <w:r>
              <w:rPr>
                <w:rFonts w:hint="eastAsia" w:ascii="宋体" w:hAnsi="宋体" w:eastAsia="宋体" w:cs="宋体"/>
                <w:kern w:val="0"/>
                <w:sz w:val="15"/>
                <w:szCs w:val="15"/>
                <w:lang w:bidi="ar"/>
              </w:rPr>
              <w:t>495518</w:t>
            </w:r>
          </w:p>
        </w:tc>
        <w:tc>
          <w:tcPr>
            <w:tcW w:w="8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5"/>
                <w:szCs w:val="15"/>
              </w:rPr>
            </w:pPr>
            <w:r>
              <w:rPr>
                <w:rFonts w:hint="eastAsia" w:ascii="宋体" w:hAnsi="宋体" w:eastAsia="宋体" w:cs="宋体"/>
                <w:kern w:val="0"/>
                <w:sz w:val="15"/>
                <w:szCs w:val="15"/>
                <w:lang w:bidi="ar"/>
              </w:rPr>
              <w:t>1</w:t>
            </w:r>
          </w:p>
        </w:tc>
        <w:tc>
          <w:tcPr>
            <w:tcW w:w="559"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sz w:val="15"/>
                <w:szCs w:val="15"/>
              </w:rPr>
            </w:pPr>
            <w:r>
              <w:rPr>
                <w:rFonts w:hint="eastAsia" w:ascii="宋体" w:hAnsi="宋体" w:eastAsia="宋体" w:cs="宋体"/>
                <w:kern w:val="0"/>
                <w:sz w:val="15"/>
                <w:szCs w:val="15"/>
                <w:lang w:bidi="ar"/>
              </w:rPr>
              <w:t>灭火器扎带[通用类;/;/;宽8mm*长500mm，红色，带6公斤干粉灭火器喷管卡扣，自锁式尼龙扎带，100条/袋]</w:t>
            </w:r>
          </w:p>
        </w:tc>
        <w:tc>
          <w:tcPr>
            <w:tcW w:w="21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5"/>
                <w:szCs w:val="15"/>
              </w:rPr>
            </w:pPr>
            <w:r>
              <w:rPr>
                <w:rFonts w:hint="eastAsia" w:ascii="宋体" w:hAnsi="宋体" w:eastAsia="宋体" w:cs="宋体"/>
                <w:kern w:val="0"/>
                <w:sz w:val="15"/>
                <w:szCs w:val="15"/>
                <w:lang w:bidi="ar"/>
              </w:rPr>
              <w:t>否</w:t>
            </w:r>
          </w:p>
        </w:tc>
        <w:tc>
          <w:tcPr>
            <w:tcW w:w="22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auto"/>
                <w:sz w:val="15"/>
                <w:szCs w:val="15"/>
              </w:rPr>
            </w:pPr>
            <w:r>
              <w:rPr>
                <w:rFonts w:hint="eastAsia" w:ascii="宋体" w:hAnsi="宋体" w:eastAsia="宋体" w:cs="宋体"/>
                <w:color w:val="auto"/>
                <w:kern w:val="0"/>
                <w:sz w:val="15"/>
                <w:szCs w:val="15"/>
                <w:lang w:bidi="ar"/>
              </w:rPr>
              <w:t>新增物资用于灭火器固定</w:t>
            </w:r>
          </w:p>
        </w:tc>
        <w:tc>
          <w:tcPr>
            <w:tcW w:w="238" w:type="pct"/>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ascii="宋体" w:hAnsi="宋体" w:eastAsia="宋体" w:cs="宋体"/>
                <w:sz w:val="15"/>
                <w:szCs w:val="15"/>
              </w:rPr>
            </w:pPr>
          </w:p>
        </w:tc>
        <w:tc>
          <w:tcPr>
            <w:tcW w:w="199" w:type="pct"/>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ascii="宋体" w:hAnsi="宋体" w:eastAsia="宋体" w:cs="宋体"/>
                <w:sz w:val="15"/>
                <w:szCs w:val="15"/>
              </w:rPr>
            </w:pPr>
          </w:p>
        </w:tc>
        <w:tc>
          <w:tcPr>
            <w:tcW w:w="2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是</w:t>
            </w:r>
          </w:p>
        </w:tc>
        <w:tc>
          <w:tcPr>
            <w:tcW w:w="355"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是</w:t>
            </w:r>
          </w:p>
        </w:tc>
        <w:tc>
          <w:tcPr>
            <w:tcW w:w="24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是</w:t>
            </w:r>
          </w:p>
        </w:tc>
        <w:tc>
          <w:tcPr>
            <w:tcW w:w="24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否</w:t>
            </w:r>
          </w:p>
        </w:tc>
        <w:tc>
          <w:tcPr>
            <w:tcW w:w="22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否</w:t>
            </w:r>
          </w:p>
        </w:tc>
        <w:tc>
          <w:tcPr>
            <w:tcW w:w="22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w:t>
            </w:r>
          </w:p>
        </w:tc>
        <w:tc>
          <w:tcPr>
            <w:tcW w:w="19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w:t>
            </w:r>
          </w:p>
        </w:tc>
        <w:tc>
          <w:tcPr>
            <w:tcW w:w="199"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是</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是</w:t>
            </w:r>
          </w:p>
        </w:tc>
        <w:tc>
          <w:tcPr>
            <w:tcW w:w="189"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w:t>
            </w:r>
          </w:p>
        </w:tc>
        <w:tc>
          <w:tcPr>
            <w:tcW w:w="185"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是</w:t>
            </w:r>
          </w:p>
        </w:tc>
        <w:tc>
          <w:tcPr>
            <w:tcW w:w="180"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w:t>
            </w:r>
          </w:p>
        </w:tc>
        <w:tc>
          <w:tcPr>
            <w:tcW w:w="20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w:t>
            </w:r>
          </w:p>
        </w:tc>
      </w:tr>
      <w:tr>
        <w:tblPrEx>
          <w:tblCellMar>
            <w:top w:w="0" w:type="dxa"/>
            <w:left w:w="108" w:type="dxa"/>
            <w:bottom w:w="0" w:type="dxa"/>
            <w:right w:w="108" w:type="dxa"/>
          </w:tblCellMar>
        </w:tblPrEx>
        <w:trPr>
          <w:trHeight w:val="800" w:hRule="atLeast"/>
        </w:trPr>
        <w:tc>
          <w:tcPr>
            <w:tcW w:w="256"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right"/>
              <w:textAlignment w:val="center"/>
              <w:rPr>
                <w:rFonts w:ascii="宋体" w:hAnsi="宋体" w:eastAsia="宋体" w:cs="宋体"/>
                <w:sz w:val="15"/>
                <w:szCs w:val="15"/>
              </w:rPr>
            </w:pPr>
            <w:r>
              <w:rPr>
                <w:rFonts w:hint="eastAsia" w:ascii="宋体" w:hAnsi="宋体" w:eastAsia="宋体" w:cs="宋体"/>
                <w:kern w:val="0"/>
                <w:sz w:val="15"/>
                <w:szCs w:val="15"/>
                <w:lang w:bidi="ar"/>
              </w:rPr>
              <w:t>501506</w:t>
            </w:r>
          </w:p>
        </w:tc>
        <w:tc>
          <w:tcPr>
            <w:tcW w:w="8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5"/>
                <w:szCs w:val="15"/>
              </w:rPr>
            </w:pPr>
            <w:r>
              <w:rPr>
                <w:rFonts w:hint="eastAsia" w:ascii="宋体" w:hAnsi="宋体" w:eastAsia="宋体" w:cs="宋体"/>
                <w:kern w:val="0"/>
                <w:sz w:val="15"/>
                <w:szCs w:val="15"/>
                <w:lang w:bidi="ar"/>
              </w:rPr>
              <w:t>2</w:t>
            </w:r>
          </w:p>
        </w:tc>
        <w:tc>
          <w:tcPr>
            <w:tcW w:w="559"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sz w:val="15"/>
                <w:szCs w:val="15"/>
              </w:rPr>
            </w:pPr>
            <w:r>
              <w:rPr>
                <w:rFonts w:hint="eastAsia" w:ascii="宋体" w:hAnsi="宋体" w:eastAsia="宋体" w:cs="宋体"/>
                <w:kern w:val="0"/>
                <w:sz w:val="15"/>
                <w:szCs w:val="15"/>
                <w:lang w:bidi="ar"/>
              </w:rPr>
              <w:t>电容[通用类;/;/;CBB-16μF±5%-3200V]</w:t>
            </w:r>
          </w:p>
        </w:tc>
        <w:tc>
          <w:tcPr>
            <w:tcW w:w="21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5"/>
                <w:szCs w:val="15"/>
              </w:rPr>
            </w:pPr>
            <w:r>
              <w:rPr>
                <w:rFonts w:hint="eastAsia" w:ascii="宋体" w:hAnsi="宋体" w:eastAsia="宋体" w:cs="宋体"/>
                <w:kern w:val="0"/>
                <w:sz w:val="15"/>
                <w:szCs w:val="15"/>
                <w:lang w:bidi="ar"/>
              </w:rPr>
              <w:t>否</w:t>
            </w:r>
          </w:p>
        </w:tc>
        <w:tc>
          <w:tcPr>
            <w:tcW w:w="22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auto"/>
                <w:sz w:val="15"/>
                <w:szCs w:val="15"/>
              </w:rPr>
            </w:pPr>
            <w:r>
              <w:rPr>
                <w:rFonts w:hint="eastAsia" w:ascii="宋体" w:hAnsi="宋体" w:eastAsia="宋体" w:cs="宋体"/>
                <w:color w:val="auto"/>
                <w:kern w:val="0"/>
                <w:sz w:val="15"/>
                <w:szCs w:val="15"/>
                <w:lang w:bidi="ar"/>
              </w:rPr>
              <w:t>新增物资用于……</w:t>
            </w:r>
          </w:p>
        </w:tc>
        <w:tc>
          <w:tcPr>
            <w:tcW w:w="238" w:type="pct"/>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ascii="宋体" w:hAnsi="宋体" w:eastAsia="宋体" w:cs="宋体"/>
                <w:sz w:val="15"/>
                <w:szCs w:val="15"/>
              </w:rPr>
            </w:pPr>
          </w:p>
        </w:tc>
        <w:tc>
          <w:tcPr>
            <w:tcW w:w="199" w:type="pct"/>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ascii="宋体" w:hAnsi="宋体" w:eastAsia="宋体" w:cs="宋体"/>
                <w:sz w:val="15"/>
                <w:szCs w:val="15"/>
              </w:rPr>
            </w:pPr>
          </w:p>
        </w:tc>
        <w:tc>
          <w:tcPr>
            <w:tcW w:w="2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是</w:t>
            </w:r>
          </w:p>
        </w:tc>
        <w:tc>
          <w:tcPr>
            <w:tcW w:w="355"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是</w:t>
            </w:r>
          </w:p>
        </w:tc>
        <w:tc>
          <w:tcPr>
            <w:tcW w:w="24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是</w:t>
            </w:r>
          </w:p>
        </w:tc>
        <w:tc>
          <w:tcPr>
            <w:tcW w:w="24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否</w:t>
            </w:r>
          </w:p>
        </w:tc>
        <w:tc>
          <w:tcPr>
            <w:tcW w:w="22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否</w:t>
            </w:r>
          </w:p>
        </w:tc>
        <w:tc>
          <w:tcPr>
            <w:tcW w:w="22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w:t>
            </w:r>
          </w:p>
        </w:tc>
        <w:tc>
          <w:tcPr>
            <w:tcW w:w="19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w:t>
            </w:r>
          </w:p>
        </w:tc>
        <w:tc>
          <w:tcPr>
            <w:tcW w:w="199"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是</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是</w:t>
            </w:r>
          </w:p>
        </w:tc>
        <w:tc>
          <w:tcPr>
            <w:tcW w:w="189"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w:t>
            </w:r>
          </w:p>
        </w:tc>
        <w:tc>
          <w:tcPr>
            <w:tcW w:w="185"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是</w:t>
            </w:r>
          </w:p>
        </w:tc>
        <w:tc>
          <w:tcPr>
            <w:tcW w:w="180"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w:t>
            </w:r>
          </w:p>
        </w:tc>
        <w:tc>
          <w:tcPr>
            <w:tcW w:w="20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w:t>
            </w:r>
          </w:p>
        </w:tc>
      </w:tr>
      <w:tr>
        <w:tblPrEx>
          <w:tblCellMar>
            <w:top w:w="0" w:type="dxa"/>
            <w:left w:w="108" w:type="dxa"/>
            <w:bottom w:w="0" w:type="dxa"/>
            <w:right w:w="108" w:type="dxa"/>
          </w:tblCellMar>
        </w:tblPrEx>
        <w:trPr>
          <w:trHeight w:val="800" w:hRule="atLeast"/>
        </w:trPr>
        <w:tc>
          <w:tcPr>
            <w:tcW w:w="256"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right"/>
              <w:textAlignment w:val="center"/>
              <w:rPr>
                <w:rFonts w:ascii="宋体" w:hAnsi="宋体" w:eastAsia="宋体" w:cs="宋体"/>
                <w:sz w:val="15"/>
                <w:szCs w:val="15"/>
              </w:rPr>
            </w:pPr>
            <w:r>
              <w:rPr>
                <w:rFonts w:hint="eastAsia" w:ascii="宋体" w:hAnsi="宋体" w:eastAsia="宋体" w:cs="宋体"/>
                <w:kern w:val="0"/>
                <w:sz w:val="15"/>
                <w:szCs w:val="15"/>
                <w:lang w:bidi="ar"/>
              </w:rPr>
              <w:t>495527</w:t>
            </w:r>
          </w:p>
        </w:tc>
        <w:tc>
          <w:tcPr>
            <w:tcW w:w="8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5"/>
                <w:szCs w:val="15"/>
              </w:rPr>
            </w:pPr>
            <w:r>
              <w:rPr>
                <w:rFonts w:hint="eastAsia" w:ascii="宋体" w:hAnsi="宋体" w:eastAsia="宋体" w:cs="宋体"/>
                <w:kern w:val="0"/>
                <w:sz w:val="15"/>
                <w:szCs w:val="15"/>
                <w:lang w:bidi="ar"/>
              </w:rPr>
              <w:t>2</w:t>
            </w:r>
          </w:p>
        </w:tc>
        <w:tc>
          <w:tcPr>
            <w:tcW w:w="559"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sz w:val="15"/>
                <w:szCs w:val="15"/>
              </w:rPr>
            </w:pPr>
            <w:r>
              <w:rPr>
                <w:rFonts w:hint="eastAsia" w:ascii="宋体" w:hAnsi="宋体" w:eastAsia="宋体" w:cs="宋体"/>
                <w:kern w:val="0"/>
                <w:sz w:val="15"/>
                <w:szCs w:val="15"/>
                <w:lang w:bidi="ar"/>
              </w:rPr>
              <w:t>显示器内屏[通用类;/;/;42英寸，分辨率1920*1080，LVDS接口，适用于LG显示屏模组LC420WUE]</w:t>
            </w:r>
          </w:p>
        </w:tc>
        <w:tc>
          <w:tcPr>
            <w:tcW w:w="21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5"/>
                <w:szCs w:val="15"/>
              </w:rPr>
            </w:pPr>
            <w:r>
              <w:rPr>
                <w:rFonts w:hint="eastAsia" w:ascii="宋体" w:hAnsi="宋体" w:eastAsia="宋体" w:cs="宋体"/>
                <w:kern w:val="0"/>
                <w:sz w:val="15"/>
                <w:szCs w:val="15"/>
                <w:lang w:bidi="ar"/>
              </w:rPr>
              <w:t>否</w:t>
            </w:r>
          </w:p>
        </w:tc>
        <w:tc>
          <w:tcPr>
            <w:tcW w:w="22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color w:val="auto"/>
                <w:sz w:val="15"/>
                <w:szCs w:val="15"/>
              </w:rPr>
            </w:pPr>
            <w:r>
              <w:rPr>
                <w:rFonts w:hint="eastAsia" w:ascii="宋体" w:hAnsi="宋体" w:eastAsia="宋体" w:cs="宋体"/>
                <w:color w:val="auto"/>
                <w:kern w:val="0"/>
                <w:sz w:val="15"/>
                <w:szCs w:val="15"/>
                <w:lang w:bidi="ar"/>
              </w:rPr>
              <w:t>新增物资用于显示器维修</w:t>
            </w:r>
          </w:p>
        </w:tc>
        <w:tc>
          <w:tcPr>
            <w:tcW w:w="238" w:type="pct"/>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ascii="宋体" w:hAnsi="宋体" w:eastAsia="宋体" w:cs="宋体"/>
                <w:sz w:val="15"/>
                <w:szCs w:val="15"/>
              </w:rPr>
            </w:pPr>
          </w:p>
        </w:tc>
        <w:tc>
          <w:tcPr>
            <w:tcW w:w="199" w:type="pct"/>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ascii="宋体" w:hAnsi="宋体" w:eastAsia="宋体" w:cs="宋体"/>
                <w:sz w:val="15"/>
                <w:szCs w:val="15"/>
              </w:rPr>
            </w:pPr>
          </w:p>
        </w:tc>
        <w:tc>
          <w:tcPr>
            <w:tcW w:w="2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是</w:t>
            </w:r>
          </w:p>
        </w:tc>
        <w:tc>
          <w:tcPr>
            <w:tcW w:w="355"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是</w:t>
            </w:r>
          </w:p>
        </w:tc>
        <w:tc>
          <w:tcPr>
            <w:tcW w:w="24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是</w:t>
            </w:r>
          </w:p>
        </w:tc>
        <w:tc>
          <w:tcPr>
            <w:tcW w:w="24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否</w:t>
            </w:r>
          </w:p>
        </w:tc>
        <w:tc>
          <w:tcPr>
            <w:tcW w:w="22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否</w:t>
            </w:r>
          </w:p>
        </w:tc>
        <w:tc>
          <w:tcPr>
            <w:tcW w:w="22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w:t>
            </w:r>
          </w:p>
        </w:tc>
        <w:tc>
          <w:tcPr>
            <w:tcW w:w="19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w:t>
            </w:r>
          </w:p>
        </w:tc>
        <w:tc>
          <w:tcPr>
            <w:tcW w:w="199"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是</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是</w:t>
            </w:r>
          </w:p>
        </w:tc>
        <w:tc>
          <w:tcPr>
            <w:tcW w:w="189"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w:t>
            </w:r>
          </w:p>
        </w:tc>
        <w:tc>
          <w:tcPr>
            <w:tcW w:w="185"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是</w:t>
            </w:r>
          </w:p>
        </w:tc>
        <w:tc>
          <w:tcPr>
            <w:tcW w:w="180"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w:t>
            </w:r>
          </w:p>
        </w:tc>
        <w:tc>
          <w:tcPr>
            <w:tcW w:w="20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w:t>
            </w:r>
          </w:p>
        </w:tc>
      </w:tr>
      <w:tr>
        <w:tblPrEx>
          <w:tblCellMar>
            <w:top w:w="0" w:type="dxa"/>
            <w:left w:w="108" w:type="dxa"/>
            <w:bottom w:w="0" w:type="dxa"/>
            <w:right w:w="108" w:type="dxa"/>
          </w:tblCellMar>
        </w:tblPrEx>
        <w:trPr>
          <w:trHeight w:val="800" w:hRule="atLeast"/>
        </w:trPr>
        <w:tc>
          <w:tcPr>
            <w:tcW w:w="256"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right"/>
              <w:textAlignment w:val="center"/>
              <w:rPr>
                <w:rFonts w:ascii="宋体" w:hAnsi="宋体" w:eastAsia="宋体" w:cs="宋体"/>
                <w:sz w:val="15"/>
                <w:szCs w:val="15"/>
              </w:rPr>
            </w:pPr>
            <w:r>
              <w:rPr>
                <w:rFonts w:hint="eastAsia" w:ascii="宋体" w:hAnsi="宋体" w:eastAsia="宋体" w:cs="宋体"/>
                <w:kern w:val="0"/>
                <w:sz w:val="15"/>
                <w:szCs w:val="15"/>
                <w:lang w:bidi="ar"/>
              </w:rPr>
              <w:t>498507</w:t>
            </w:r>
          </w:p>
        </w:tc>
        <w:tc>
          <w:tcPr>
            <w:tcW w:w="8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5"/>
                <w:szCs w:val="15"/>
              </w:rPr>
            </w:pPr>
            <w:r>
              <w:rPr>
                <w:rFonts w:hint="eastAsia" w:ascii="宋体" w:hAnsi="宋体" w:eastAsia="宋体" w:cs="宋体"/>
                <w:kern w:val="0"/>
                <w:sz w:val="15"/>
                <w:szCs w:val="15"/>
                <w:lang w:bidi="ar"/>
              </w:rPr>
              <w:t>1</w:t>
            </w:r>
          </w:p>
        </w:tc>
        <w:tc>
          <w:tcPr>
            <w:tcW w:w="559"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sz w:val="15"/>
                <w:szCs w:val="15"/>
              </w:rPr>
            </w:pPr>
            <w:r>
              <w:rPr>
                <w:rFonts w:hint="eastAsia" w:ascii="宋体" w:hAnsi="宋体" w:eastAsia="宋体" w:cs="宋体"/>
                <w:kern w:val="0"/>
                <w:sz w:val="15"/>
                <w:szCs w:val="15"/>
                <w:lang w:bidi="ar"/>
              </w:rPr>
              <w:t>DMI[阿尔斯通ALSTOM;/;K210398-106;建设移交物资，不用于提报需求计划]</w:t>
            </w:r>
          </w:p>
        </w:tc>
        <w:tc>
          <w:tcPr>
            <w:tcW w:w="21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5"/>
                <w:szCs w:val="15"/>
              </w:rPr>
            </w:pPr>
            <w:r>
              <w:rPr>
                <w:rFonts w:hint="eastAsia" w:ascii="宋体" w:hAnsi="宋体" w:eastAsia="宋体" w:cs="宋体"/>
                <w:kern w:val="0"/>
                <w:sz w:val="15"/>
                <w:szCs w:val="15"/>
                <w:lang w:bidi="ar"/>
              </w:rPr>
              <w:t>是</w:t>
            </w:r>
          </w:p>
        </w:tc>
        <w:tc>
          <w:tcPr>
            <w:tcW w:w="22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5"/>
                <w:szCs w:val="15"/>
              </w:rPr>
            </w:pPr>
            <w:r>
              <w:rPr>
                <w:rFonts w:hint="eastAsia" w:ascii="宋体" w:hAnsi="宋体" w:eastAsia="宋体" w:cs="宋体"/>
                <w:kern w:val="0"/>
                <w:sz w:val="15"/>
                <w:szCs w:val="15"/>
                <w:lang w:bidi="ar"/>
              </w:rPr>
              <w:t>新增物资用于建设移交-可被替代映射</w:t>
            </w:r>
          </w:p>
        </w:tc>
        <w:tc>
          <w:tcPr>
            <w:tcW w:w="238"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sz w:val="15"/>
                <w:szCs w:val="15"/>
              </w:rPr>
            </w:pPr>
            <w:r>
              <w:rPr>
                <w:rFonts w:hint="eastAsia" w:ascii="宋体" w:hAnsi="宋体" w:eastAsia="宋体" w:cs="宋体"/>
                <w:kern w:val="0"/>
                <w:sz w:val="15"/>
                <w:szCs w:val="15"/>
                <w:lang w:bidi="ar"/>
              </w:rPr>
              <w:t>K0300024000</w:t>
            </w:r>
          </w:p>
        </w:tc>
        <w:tc>
          <w:tcPr>
            <w:tcW w:w="199"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sz w:val="15"/>
                <w:szCs w:val="15"/>
              </w:rPr>
            </w:pPr>
            <w:r>
              <w:rPr>
                <w:rFonts w:hint="eastAsia" w:ascii="宋体" w:hAnsi="宋体" w:eastAsia="宋体" w:cs="宋体"/>
                <w:kern w:val="0"/>
                <w:sz w:val="15"/>
                <w:szCs w:val="15"/>
                <w:lang w:bidi="ar"/>
              </w:rPr>
              <w:t>DMI[阿尔斯通ALSTOM;/;K210398-106/AB;/]</w:t>
            </w:r>
          </w:p>
        </w:tc>
        <w:tc>
          <w:tcPr>
            <w:tcW w:w="23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是</w:t>
            </w:r>
          </w:p>
        </w:tc>
        <w:tc>
          <w:tcPr>
            <w:tcW w:w="355"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是</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是</w:t>
            </w:r>
          </w:p>
        </w:tc>
        <w:tc>
          <w:tcPr>
            <w:tcW w:w="24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是</w:t>
            </w:r>
          </w:p>
        </w:tc>
        <w:tc>
          <w:tcPr>
            <w:tcW w:w="248" w:type="pct"/>
            <w:tcBorders>
              <w:top w:val="single" w:color="000000" w:sz="4" w:space="0"/>
              <w:left w:val="single" w:color="000000" w:sz="4" w:space="0"/>
              <w:bottom w:val="nil"/>
              <w:right w:val="single" w:color="000000" w:sz="4" w:space="0"/>
            </w:tcBorders>
            <w:shd w:val="clear" w:color="auto" w:fill="auto"/>
            <w:noWrap/>
            <w:vAlign w:val="center"/>
          </w:tcPr>
          <w:p>
            <w:pPr>
              <w:widowControl/>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否</w:t>
            </w:r>
          </w:p>
        </w:tc>
        <w:tc>
          <w:tcPr>
            <w:tcW w:w="22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否</w:t>
            </w:r>
          </w:p>
        </w:tc>
        <w:tc>
          <w:tcPr>
            <w:tcW w:w="22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w:t>
            </w:r>
          </w:p>
        </w:tc>
        <w:tc>
          <w:tcPr>
            <w:tcW w:w="19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w:t>
            </w:r>
          </w:p>
        </w:tc>
        <w:tc>
          <w:tcPr>
            <w:tcW w:w="199"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是</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是</w:t>
            </w:r>
          </w:p>
        </w:tc>
        <w:tc>
          <w:tcPr>
            <w:tcW w:w="189"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w:t>
            </w:r>
          </w:p>
        </w:tc>
        <w:tc>
          <w:tcPr>
            <w:tcW w:w="185"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是</w:t>
            </w:r>
          </w:p>
        </w:tc>
        <w:tc>
          <w:tcPr>
            <w:tcW w:w="180"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w:t>
            </w:r>
          </w:p>
        </w:tc>
        <w:tc>
          <w:tcPr>
            <w:tcW w:w="20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w:t>
            </w:r>
          </w:p>
        </w:tc>
      </w:tr>
      <w:tr>
        <w:tblPrEx>
          <w:tblCellMar>
            <w:top w:w="0" w:type="dxa"/>
            <w:left w:w="108" w:type="dxa"/>
            <w:bottom w:w="0" w:type="dxa"/>
            <w:right w:w="108" w:type="dxa"/>
          </w:tblCellMar>
        </w:tblPrEx>
        <w:trPr>
          <w:trHeight w:val="800" w:hRule="atLeast"/>
        </w:trPr>
        <w:tc>
          <w:tcPr>
            <w:tcW w:w="256"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right"/>
              <w:textAlignment w:val="center"/>
              <w:rPr>
                <w:rFonts w:ascii="宋体" w:hAnsi="宋体" w:eastAsia="宋体" w:cs="宋体"/>
                <w:sz w:val="15"/>
                <w:szCs w:val="15"/>
              </w:rPr>
            </w:pPr>
            <w:r>
              <w:rPr>
                <w:rFonts w:hint="eastAsia" w:ascii="宋体" w:hAnsi="宋体" w:eastAsia="宋体" w:cs="宋体"/>
                <w:kern w:val="0"/>
                <w:sz w:val="15"/>
                <w:szCs w:val="15"/>
                <w:lang w:bidi="ar"/>
              </w:rPr>
              <w:t>495521</w:t>
            </w:r>
          </w:p>
        </w:tc>
        <w:tc>
          <w:tcPr>
            <w:tcW w:w="8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5"/>
                <w:szCs w:val="15"/>
              </w:rPr>
            </w:pPr>
            <w:r>
              <w:rPr>
                <w:rFonts w:hint="eastAsia" w:ascii="宋体" w:hAnsi="宋体" w:eastAsia="宋体" w:cs="宋体"/>
                <w:kern w:val="0"/>
                <w:sz w:val="15"/>
                <w:szCs w:val="15"/>
                <w:lang w:bidi="ar"/>
              </w:rPr>
              <w:t>23</w:t>
            </w:r>
          </w:p>
        </w:tc>
        <w:tc>
          <w:tcPr>
            <w:tcW w:w="559"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sz w:val="15"/>
                <w:szCs w:val="15"/>
              </w:rPr>
            </w:pPr>
            <w:r>
              <w:rPr>
                <w:rFonts w:hint="eastAsia" w:ascii="宋体" w:hAnsi="宋体" w:eastAsia="宋体" w:cs="宋体"/>
                <w:kern w:val="0"/>
                <w:sz w:val="15"/>
                <w:szCs w:val="15"/>
                <w:lang w:bidi="ar"/>
              </w:rPr>
              <w:t>遥控器电池[通用类;/;/;电压6V，容量1500mAh，最大长度83mm,最大宽度55mm, 最大厚度22mm，适用于大连铁丰RTT-2000公铁车遥控器]</w:t>
            </w:r>
          </w:p>
        </w:tc>
        <w:tc>
          <w:tcPr>
            <w:tcW w:w="21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5"/>
                <w:szCs w:val="15"/>
              </w:rPr>
            </w:pPr>
            <w:r>
              <w:rPr>
                <w:rFonts w:hint="eastAsia" w:ascii="宋体" w:hAnsi="宋体" w:eastAsia="宋体" w:cs="宋体"/>
                <w:kern w:val="0"/>
                <w:sz w:val="15"/>
                <w:szCs w:val="15"/>
                <w:lang w:bidi="ar"/>
              </w:rPr>
              <w:t>是</w:t>
            </w:r>
          </w:p>
        </w:tc>
        <w:tc>
          <w:tcPr>
            <w:tcW w:w="22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5"/>
                <w:szCs w:val="15"/>
              </w:rPr>
            </w:pPr>
            <w:r>
              <w:rPr>
                <w:rFonts w:hint="eastAsia" w:ascii="宋体" w:hAnsi="宋体" w:eastAsia="宋体" w:cs="宋体"/>
                <w:kern w:val="0"/>
                <w:sz w:val="15"/>
                <w:szCs w:val="15"/>
                <w:lang w:bidi="ar"/>
              </w:rPr>
              <w:t>替代非单一品牌、含品牌型号编码</w:t>
            </w:r>
          </w:p>
        </w:tc>
        <w:tc>
          <w:tcPr>
            <w:tcW w:w="238"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sz w:val="15"/>
                <w:szCs w:val="15"/>
              </w:rPr>
            </w:pPr>
            <w:r>
              <w:rPr>
                <w:rFonts w:hint="eastAsia" w:ascii="宋体" w:hAnsi="宋体" w:eastAsia="宋体" w:cs="宋体"/>
                <w:kern w:val="0"/>
                <w:sz w:val="15"/>
                <w:szCs w:val="15"/>
                <w:lang w:bidi="ar"/>
              </w:rPr>
              <w:t>B2300000125</w:t>
            </w:r>
          </w:p>
        </w:tc>
        <w:tc>
          <w:tcPr>
            <w:tcW w:w="199"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sz w:val="15"/>
                <w:szCs w:val="15"/>
              </w:rPr>
            </w:pPr>
            <w:r>
              <w:rPr>
                <w:rFonts w:hint="eastAsia" w:ascii="宋体" w:hAnsi="宋体" w:eastAsia="宋体" w:cs="宋体"/>
                <w:kern w:val="0"/>
                <w:sz w:val="15"/>
                <w:szCs w:val="15"/>
                <w:lang w:bidi="ar"/>
              </w:rPr>
              <w:t>公铁两用车遥控器电池[欧姆;/;BN1500;电压6V，容量1500mAh]</w:t>
            </w:r>
          </w:p>
        </w:tc>
        <w:tc>
          <w:tcPr>
            <w:tcW w:w="23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是</w:t>
            </w:r>
          </w:p>
        </w:tc>
        <w:tc>
          <w:tcPr>
            <w:tcW w:w="355"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是</w:t>
            </w:r>
          </w:p>
        </w:tc>
        <w:tc>
          <w:tcPr>
            <w:tcW w:w="24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是</w:t>
            </w:r>
          </w:p>
        </w:tc>
        <w:tc>
          <w:tcPr>
            <w:tcW w:w="24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否</w:t>
            </w:r>
          </w:p>
        </w:tc>
        <w:tc>
          <w:tcPr>
            <w:tcW w:w="22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否</w:t>
            </w:r>
          </w:p>
        </w:tc>
        <w:tc>
          <w:tcPr>
            <w:tcW w:w="22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w:t>
            </w:r>
          </w:p>
        </w:tc>
        <w:tc>
          <w:tcPr>
            <w:tcW w:w="19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w:t>
            </w:r>
          </w:p>
        </w:tc>
        <w:tc>
          <w:tcPr>
            <w:tcW w:w="199"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是</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是</w:t>
            </w:r>
          </w:p>
        </w:tc>
        <w:tc>
          <w:tcPr>
            <w:tcW w:w="189"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w:t>
            </w:r>
          </w:p>
        </w:tc>
        <w:tc>
          <w:tcPr>
            <w:tcW w:w="185"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是</w:t>
            </w:r>
          </w:p>
        </w:tc>
        <w:tc>
          <w:tcPr>
            <w:tcW w:w="180"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w:t>
            </w:r>
          </w:p>
        </w:tc>
        <w:tc>
          <w:tcPr>
            <w:tcW w:w="20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w:t>
            </w:r>
          </w:p>
        </w:tc>
      </w:tr>
      <w:tr>
        <w:tblPrEx>
          <w:tblCellMar>
            <w:top w:w="0" w:type="dxa"/>
            <w:left w:w="108" w:type="dxa"/>
            <w:bottom w:w="0" w:type="dxa"/>
            <w:right w:w="108" w:type="dxa"/>
          </w:tblCellMar>
        </w:tblPrEx>
        <w:trPr>
          <w:trHeight w:val="800" w:hRule="atLeast"/>
        </w:trPr>
        <w:tc>
          <w:tcPr>
            <w:tcW w:w="256" w:type="pct"/>
            <w:tcBorders>
              <w:top w:val="single" w:color="000000" w:sz="4" w:space="0"/>
              <w:left w:val="single" w:color="000000" w:sz="4" w:space="0"/>
              <w:bottom w:val="nil"/>
              <w:right w:val="single" w:color="000000" w:sz="4" w:space="0"/>
            </w:tcBorders>
            <w:shd w:val="clear" w:color="auto" w:fill="auto"/>
            <w:vAlign w:val="center"/>
          </w:tcPr>
          <w:p>
            <w:pPr>
              <w:widowControl/>
              <w:jc w:val="right"/>
              <w:textAlignment w:val="center"/>
              <w:rPr>
                <w:rFonts w:ascii="宋体" w:hAnsi="宋体" w:eastAsia="宋体" w:cs="宋体"/>
                <w:sz w:val="15"/>
                <w:szCs w:val="15"/>
              </w:rPr>
            </w:pPr>
            <w:r>
              <w:rPr>
                <w:rFonts w:hint="eastAsia" w:ascii="宋体" w:hAnsi="宋体" w:eastAsia="宋体" w:cs="宋体"/>
                <w:kern w:val="0"/>
                <w:sz w:val="15"/>
                <w:szCs w:val="15"/>
                <w:lang w:bidi="ar"/>
              </w:rPr>
              <w:t>495521</w:t>
            </w:r>
          </w:p>
        </w:tc>
        <w:tc>
          <w:tcPr>
            <w:tcW w:w="87" w:type="pct"/>
            <w:tcBorders>
              <w:top w:val="single" w:color="000000" w:sz="4" w:space="0"/>
              <w:left w:val="single" w:color="000000" w:sz="4" w:space="0"/>
              <w:bottom w:val="nil"/>
              <w:right w:val="single" w:color="000000" w:sz="4" w:space="0"/>
            </w:tcBorders>
            <w:shd w:val="clear" w:color="auto" w:fill="auto"/>
            <w:vAlign w:val="center"/>
          </w:tcPr>
          <w:p>
            <w:pPr>
              <w:widowControl/>
              <w:jc w:val="center"/>
              <w:textAlignment w:val="center"/>
              <w:rPr>
                <w:rFonts w:ascii="宋体" w:hAnsi="宋体" w:eastAsia="宋体" w:cs="宋体"/>
                <w:sz w:val="15"/>
                <w:szCs w:val="15"/>
              </w:rPr>
            </w:pPr>
            <w:r>
              <w:rPr>
                <w:rFonts w:hint="eastAsia" w:ascii="宋体" w:hAnsi="宋体" w:eastAsia="宋体" w:cs="宋体"/>
                <w:kern w:val="0"/>
                <w:sz w:val="15"/>
                <w:szCs w:val="15"/>
                <w:lang w:bidi="ar"/>
              </w:rPr>
              <w:t>24</w:t>
            </w:r>
          </w:p>
        </w:tc>
        <w:tc>
          <w:tcPr>
            <w:tcW w:w="559" w:type="pct"/>
            <w:tcBorders>
              <w:top w:val="single" w:color="000000" w:sz="4" w:space="0"/>
              <w:left w:val="single" w:color="000000" w:sz="4" w:space="0"/>
              <w:bottom w:val="nil"/>
              <w:right w:val="single" w:color="000000" w:sz="4" w:space="0"/>
            </w:tcBorders>
            <w:shd w:val="clear" w:color="auto" w:fill="auto"/>
            <w:vAlign w:val="center"/>
          </w:tcPr>
          <w:p>
            <w:pPr>
              <w:widowControl/>
              <w:jc w:val="left"/>
              <w:textAlignment w:val="center"/>
              <w:rPr>
                <w:rFonts w:ascii="宋体" w:hAnsi="宋体" w:eastAsia="宋体" w:cs="宋体"/>
                <w:sz w:val="15"/>
                <w:szCs w:val="15"/>
              </w:rPr>
            </w:pPr>
            <w:r>
              <w:rPr>
                <w:rFonts w:hint="eastAsia" w:ascii="宋体" w:hAnsi="宋体" w:eastAsia="宋体" w:cs="宋体"/>
                <w:kern w:val="0"/>
                <w:sz w:val="15"/>
                <w:szCs w:val="15"/>
                <w:lang w:bidi="ar"/>
              </w:rPr>
              <w:t>前后车灯[通用类;/;/;LED灯泡，15W，DC24V，带灯罩外壳，配正负极连接线，灯罩外壳尺寸长约117mm，宽约105mm，高约75mm，适用于大连铁丰RTT-2000公铁车]</w:t>
            </w:r>
          </w:p>
        </w:tc>
        <w:tc>
          <w:tcPr>
            <w:tcW w:w="214" w:type="pct"/>
            <w:tcBorders>
              <w:top w:val="single" w:color="000000" w:sz="4" w:space="0"/>
              <w:left w:val="single" w:color="000000" w:sz="4" w:space="0"/>
              <w:bottom w:val="nil"/>
              <w:right w:val="single" w:color="000000" w:sz="4" w:space="0"/>
            </w:tcBorders>
            <w:shd w:val="clear" w:color="auto" w:fill="auto"/>
            <w:vAlign w:val="center"/>
          </w:tcPr>
          <w:p>
            <w:pPr>
              <w:widowControl/>
              <w:jc w:val="center"/>
              <w:textAlignment w:val="center"/>
              <w:rPr>
                <w:rFonts w:ascii="宋体" w:hAnsi="宋体" w:eastAsia="宋体" w:cs="宋体"/>
                <w:sz w:val="15"/>
                <w:szCs w:val="15"/>
              </w:rPr>
            </w:pPr>
            <w:r>
              <w:rPr>
                <w:rFonts w:hint="eastAsia" w:ascii="宋体" w:hAnsi="宋体" w:eastAsia="宋体" w:cs="宋体"/>
                <w:kern w:val="0"/>
                <w:sz w:val="15"/>
                <w:szCs w:val="15"/>
                <w:lang w:bidi="ar"/>
              </w:rPr>
              <w:t>是</w:t>
            </w:r>
          </w:p>
        </w:tc>
        <w:tc>
          <w:tcPr>
            <w:tcW w:w="224" w:type="pct"/>
            <w:tcBorders>
              <w:top w:val="single" w:color="000000" w:sz="4" w:space="0"/>
              <w:left w:val="single" w:color="000000" w:sz="4" w:space="0"/>
              <w:bottom w:val="nil"/>
              <w:right w:val="single" w:color="000000" w:sz="4" w:space="0"/>
            </w:tcBorders>
            <w:shd w:val="clear" w:color="auto" w:fill="auto"/>
            <w:vAlign w:val="center"/>
          </w:tcPr>
          <w:p>
            <w:pPr>
              <w:widowControl/>
              <w:jc w:val="center"/>
              <w:textAlignment w:val="center"/>
              <w:rPr>
                <w:rFonts w:ascii="宋体" w:hAnsi="宋体" w:eastAsia="宋体" w:cs="宋体"/>
                <w:sz w:val="15"/>
                <w:szCs w:val="15"/>
              </w:rPr>
            </w:pPr>
            <w:r>
              <w:rPr>
                <w:rFonts w:hint="eastAsia" w:ascii="宋体" w:hAnsi="宋体" w:eastAsia="宋体" w:cs="宋体"/>
                <w:kern w:val="0"/>
                <w:sz w:val="15"/>
                <w:szCs w:val="15"/>
                <w:lang w:bidi="ar"/>
              </w:rPr>
              <w:t>替代非单一品牌、含品牌型号编码</w:t>
            </w:r>
          </w:p>
        </w:tc>
        <w:tc>
          <w:tcPr>
            <w:tcW w:w="238" w:type="pct"/>
            <w:tcBorders>
              <w:top w:val="single" w:color="000000" w:sz="4" w:space="0"/>
              <w:left w:val="single" w:color="000000" w:sz="4" w:space="0"/>
              <w:bottom w:val="nil"/>
              <w:right w:val="single" w:color="000000" w:sz="4" w:space="0"/>
            </w:tcBorders>
            <w:shd w:val="clear" w:color="auto" w:fill="auto"/>
            <w:vAlign w:val="center"/>
          </w:tcPr>
          <w:p>
            <w:pPr>
              <w:widowControl/>
              <w:jc w:val="left"/>
              <w:textAlignment w:val="center"/>
              <w:rPr>
                <w:rFonts w:ascii="宋体" w:hAnsi="宋体" w:eastAsia="宋体" w:cs="宋体"/>
                <w:sz w:val="15"/>
                <w:szCs w:val="15"/>
              </w:rPr>
            </w:pPr>
            <w:r>
              <w:rPr>
                <w:rFonts w:hint="eastAsia" w:ascii="宋体" w:hAnsi="宋体" w:eastAsia="宋体" w:cs="宋体"/>
                <w:kern w:val="0"/>
                <w:sz w:val="15"/>
                <w:szCs w:val="15"/>
                <w:lang w:bidi="ar"/>
              </w:rPr>
              <w:t>B8300000018</w:t>
            </w:r>
          </w:p>
        </w:tc>
        <w:tc>
          <w:tcPr>
            <w:tcW w:w="199" w:type="pct"/>
            <w:tcBorders>
              <w:top w:val="single" w:color="000000" w:sz="4" w:space="0"/>
              <w:left w:val="single" w:color="000000" w:sz="4" w:space="0"/>
              <w:bottom w:val="nil"/>
              <w:right w:val="single" w:color="000000" w:sz="4" w:space="0"/>
            </w:tcBorders>
            <w:shd w:val="clear" w:color="auto" w:fill="auto"/>
            <w:vAlign w:val="center"/>
          </w:tcPr>
          <w:p>
            <w:pPr>
              <w:widowControl/>
              <w:jc w:val="left"/>
              <w:textAlignment w:val="center"/>
              <w:rPr>
                <w:rFonts w:ascii="宋体" w:hAnsi="宋体" w:eastAsia="宋体" w:cs="宋体"/>
                <w:sz w:val="15"/>
                <w:szCs w:val="15"/>
              </w:rPr>
            </w:pPr>
            <w:r>
              <w:rPr>
                <w:rFonts w:hint="eastAsia" w:ascii="宋体" w:hAnsi="宋体" w:eastAsia="宋体" w:cs="宋体"/>
                <w:kern w:val="0"/>
                <w:sz w:val="15"/>
                <w:szCs w:val="15"/>
                <w:lang w:bidi="ar"/>
              </w:rPr>
              <w:t>前后车灯[大连铁丰;/;/;R30W 24V]</w:t>
            </w:r>
          </w:p>
        </w:tc>
        <w:tc>
          <w:tcPr>
            <w:tcW w:w="233" w:type="pct"/>
            <w:tcBorders>
              <w:top w:val="single" w:color="000000" w:sz="4" w:space="0"/>
              <w:left w:val="single" w:color="000000" w:sz="4" w:space="0"/>
              <w:bottom w:val="nil"/>
              <w:right w:val="single" w:color="000000" w:sz="4" w:space="0"/>
            </w:tcBorders>
            <w:shd w:val="clear" w:color="auto" w:fill="auto"/>
            <w:noWrap/>
            <w:vAlign w:val="center"/>
          </w:tcPr>
          <w:p>
            <w:pPr>
              <w:widowControl/>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是</w:t>
            </w:r>
          </w:p>
        </w:tc>
        <w:tc>
          <w:tcPr>
            <w:tcW w:w="355" w:type="pct"/>
            <w:tcBorders>
              <w:top w:val="single" w:color="000000" w:sz="4" w:space="0"/>
              <w:left w:val="single" w:color="000000" w:sz="4" w:space="0"/>
              <w:bottom w:val="nil"/>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w:t>
            </w:r>
          </w:p>
        </w:tc>
        <w:tc>
          <w:tcPr>
            <w:tcW w:w="277" w:type="pct"/>
            <w:tcBorders>
              <w:top w:val="single" w:color="000000" w:sz="4" w:space="0"/>
              <w:left w:val="single" w:color="000000" w:sz="4" w:space="0"/>
              <w:bottom w:val="nil"/>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是</w:t>
            </w:r>
          </w:p>
        </w:tc>
        <w:tc>
          <w:tcPr>
            <w:tcW w:w="243" w:type="pct"/>
            <w:tcBorders>
              <w:top w:val="single" w:color="000000" w:sz="4" w:space="0"/>
              <w:left w:val="single" w:color="000000" w:sz="4" w:space="0"/>
              <w:bottom w:val="nil"/>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是</w:t>
            </w:r>
          </w:p>
        </w:tc>
        <w:tc>
          <w:tcPr>
            <w:tcW w:w="248" w:type="pct"/>
            <w:tcBorders>
              <w:top w:val="single" w:color="000000" w:sz="4" w:space="0"/>
              <w:left w:val="single" w:color="000000" w:sz="4" w:space="0"/>
              <w:bottom w:val="nil"/>
              <w:right w:val="single" w:color="000000" w:sz="4" w:space="0"/>
            </w:tcBorders>
            <w:shd w:val="clear" w:color="auto" w:fill="auto"/>
            <w:noWrap/>
            <w:vAlign w:val="center"/>
          </w:tcPr>
          <w:p>
            <w:pPr>
              <w:widowControl/>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否</w:t>
            </w:r>
          </w:p>
        </w:tc>
        <w:tc>
          <w:tcPr>
            <w:tcW w:w="224" w:type="pct"/>
            <w:tcBorders>
              <w:top w:val="single" w:color="000000" w:sz="4" w:space="0"/>
              <w:left w:val="single" w:color="000000" w:sz="4" w:space="0"/>
              <w:bottom w:val="nil"/>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否</w:t>
            </w:r>
          </w:p>
        </w:tc>
        <w:tc>
          <w:tcPr>
            <w:tcW w:w="22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w:t>
            </w:r>
          </w:p>
        </w:tc>
        <w:tc>
          <w:tcPr>
            <w:tcW w:w="194" w:type="pct"/>
            <w:tcBorders>
              <w:top w:val="single" w:color="000000" w:sz="4" w:space="0"/>
              <w:left w:val="single" w:color="000000" w:sz="4" w:space="0"/>
              <w:bottom w:val="nil"/>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w:t>
            </w:r>
          </w:p>
        </w:tc>
        <w:tc>
          <w:tcPr>
            <w:tcW w:w="199" w:type="pct"/>
            <w:tcBorders>
              <w:top w:val="single" w:color="000000" w:sz="4" w:space="0"/>
              <w:left w:val="single" w:color="000000" w:sz="4" w:space="0"/>
              <w:bottom w:val="nil"/>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是</w:t>
            </w:r>
          </w:p>
        </w:tc>
        <w:tc>
          <w:tcPr>
            <w:tcW w:w="258" w:type="pct"/>
            <w:tcBorders>
              <w:top w:val="single" w:color="000000" w:sz="4" w:space="0"/>
              <w:left w:val="single" w:color="000000" w:sz="4" w:space="0"/>
              <w:bottom w:val="nil"/>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是</w:t>
            </w:r>
          </w:p>
        </w:tc>
        <w:tc>
          <w:tcPr>
            <w:tcW w:w="189" w:type="pct"/>
            <w:tcBorders>
              <w:top w:val="single" w:color="000000" w:sz="4" w:space="0"/>
              <w:left w:val="single" w:color="000000" w:sz="4" w:space="0"/>
              <w:bottom w:val="nil"/>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w:t>
            </w:r>
          </w:p>
        </w:tc>
        <w:tc>
          <w:tcPr>
            <w:tcW w:w="185" w:type="pct"/>
            <w:tcBorders>
              <w:top w:val="single" w:color="000000" w:sz="4" w:space="0"/>
              <w:left w:val="single" w:color="000000" w:sz="4" w:space="0"/>
              <w:bottom w:val="nil"/>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是</w:t>
            </w:r>
          </w:p>
        </w:tc>
        <w:tc>
          <w:tcPr>
            <w:tcW w:w="180" w:type="pct"/>
            <w:tcBorders>
              <w:top w:val="single" w:color="000000" w:sz="4" w:space="0"/>
              <w:left w:val="single" w:color="000000" w:sz="4" w:space="0"/>
              <w:bottom w:val="nil"/>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w:t>
            </w:r>
          </w:p>
        </w:tc>
        <w:tc>
          <w:tcPr>
            <w:tcW w:w="204" w:type="pct"/>
            <w:tcBorders>
              <w:top w:val="single" w:color="000000" w:sz="4" w:space="0"/>
              <w:left w:val="single" w:color="000000" w:sz="4" w:space="0"/>
              <w:bottom w:val="nil"/>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w:t>
            </w:r>
          </w:p>
        </w:tc>
      </w:tr>
      <w:tr>
        <w:tblPrEx>
          <w:tblCellMar>
            <w:top w:w="0" w:type="dxa"/>
            <w:left w:w="108" w:type="dxa"/>
            <w:bottom w:w="0" w:type="dxa"/>
            <w:right w:w="108" w:type="dxa"/>
          </w:tblCellMar>
        </w:tblPrEx>
        <w:trPr>
          <w:trHeight w:val="800" w:hRule="atLeast"/>
        </w:trPr>
        <w:tc>
          <w:tcPr>
            <w:tcW w:w="256"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right"/>
              <w:textAlignment w:val="center"/>
              <w:rPr>
                <w:rFonts w:ascii="宋体" w:hAnsi="宋体" w:eastAsia="宋体" w:cs="宋体"/>
                <w:sz w:val="15"/>
                <w:szCs w:val="15"/>
              </w:rPr>
            </w:pPr>
            <w:r>
              <w:rPr>
                <w:rFonts w:hint="eastAsia" w:ascii="宋体" w:hAnsi="宋体" w:eastAsia="宋体" w:cs="宋体"/>
                <w:kern w:val="0"/>
                <w:sz w:val="15"/>
                <w:szCs w:val="15"/>
                <w:lang w:bidi="ar"/>
              </w:rPr>
              <w:t>495521</w:t>
            </w:r>
          </w:p>
        </w:tc>
        <w:tc>
          <w:tcPr>
            <w:tcW w:w="8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5"/>
                <w:szCs w:val="15"/>
              </w:rPr>
            </w:pPr>
            <w:r>
              <w:rPr>
                <w:rFonts w:hint="eastAsia" w:ascii="宋体" w:hAnsi="宋体" w:eastAsia="宋体" w:cs="宋体"/>
                <w:kern w:val="0"/>
                <w:sz w:val="15"/>
                <w:szCs w:val="15"/>
                <w:lang w:bidi="ar"/>
              </w:rPr>
              <w:t>25</w:t>
            </w:r>
          </w:p>
        </w:tc>
        <w:tc>
          <w:tcPr>
            <w:tcW w:w="559"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sz w:val="15"/>
                <w:szCs w:val="15"/>
              </w:rPr>
            </w:pPr>
            <w:r>
              <w:rPr>
                <w:rFonts w:hint="eastAsia" w:ascii="宋体" w:hAnsi="宋体" w:eastAsia="宋体" w:cs="宋体"/>
                <w:kern w:val="0"/>
                <w:sz w:val="15"/>
                <w:szCs w:val="15"/>
                <w:lang w:bidi="ar"/>
              </w:rPr>
              <w:t>喇叭[通用类;/;/;12V，3A,带安装支撑板，配2根安装线,适用于合力2T蓄电池搬运车]</w:t>
            </w:r>
          </w:p>
        </w:tc>
        <w:tc>
          <w:tcPr>
            <w:tcW w:w="21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5"/>
                <w:szCs w:val="15"/>
              </w:rPr>
            </w:pPr>
            <w:r>
              <w:rPr>
                <w:rFonts w:hint="eastAsia" w:ascii="宋体" w:hAnsi="宋体" w:eastAsia="宋体" w:cs="宋体"/>
                <w:kern w:val="0"/>
                <w:sz w:val="15"/>
                <w:szCs w:val="15"/>
                <w:lang w:bidi="ar"/>
              </w:rPr>
              <w:t>是</w:t>
            </w:r>
          </w:p>
        </w:tc>
        <w:tc>
          <w:tcPr>
            <w:tcW w:w="22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5"/>
                <w:szCs w:val="15"/>
              </w:rPr>
            </w:pPr>
            <w:r>
              <w:rPr>
                <w:rFonts w:hint="eastAsia" w:ascii="宋体" w:hAnsi="宋体" w:eastAsia="宋体" w:cs="宋体"/>
                <w:kern w:val="0"/>
                <w:sz w:val="15"/>
                <w:szCs w:val="15"/>
                <w:lang w:bidi="ar"/>
              </w:rPr>
              <w:t>修订/补充现有编码说明</w:t>
            </w:r>
          </w:p>
        </w:tc>
        <w:tc>
          <w:tcPr>
            <w:tcW w:w="238"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sz w:val="15"/>
                <w:szCs w:val="15"/>
              </w:rPr>
            </w:pPr>
            <w:r>
              <w:rPr>
                <w:rFonts w:hint="eastAsia" w:ascii="宋体" w:hAnsi="宋体" w:eastAsia="宋体" w:cs="宋体"/>
                <w:kern w:val="0"/>
                <w:sz w:val="15"/>
                <w:szCs w:val="15"/>
                <w:lang w:bidi="ar"/>
              </w:rPr>
              <w:t>C0500000001</w:t>
            </w:r>
          </w:p>
        </w:tc>
        <w:tc>
          <w:tcPr>
            <w:tcW w:w="199"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sz w:val="15"/>
                <w:szCs w:val="15"/>
              </w:rPr>
            </w:pPr>
            <w:r>
              <w:rPr>
                <w:rFonts w:hint="eastAsia" w:ascii="宋体" w:hAnsi="宋体" w:eastAsia="宋体" w:cs="宋体"/>
                <w:kern w:val="0"/>
                <w:sz w:val="15"/>
                <w:szCs w:val="15"/>
                <w:lang w:bidi="ar"/>
              </w:rPr>
              <w:t>蓄电池搬运车喇叭[通用类;/;DL127 KDL6109B;12V/3A，带安装支撑板，配2根安装线]</w:t>
            </w:r>
          </w:p>
        </w:tc>
        <w:tc>
          <w:tcPr>
            <w:tcW w:w="23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是</w:t>
            </w:r>
          </w:p>
        </w:tc>
        <w:tc>
          <w:tcPr>
            <w:tcW w:w="355"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是</w:t>
            </w:r>
          </w:p>
        </w:tc>
        <w:tc>
          <w:tcPr>
            <w:tcW w:w="24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是</w:t>
            </w:r>
          </w:p>
        </w:tc>
        <w:tc>
          <w:tcPr>
            <w:tcW w:w="248" w:type="pct"/>
            <w:tcBorders>
              <w:top w:val="single" w:color="000000" w:sz="4" w:space="0"/>
              <w:left w:val="single" w:color="000000" w:sz="4" w:space="0"/>
              <w:bottom w:val="nil"/>
              <w:right w:val="single" w:color="000000" w:sz="4" w:space="0"/>
            </w:tcBorders>
            <w:shd w:val="clear" w:color="auto" w:fill="auto"/>
            <w:noWrap/>
            <w:vAlign w:val="center"/>
          </w:tcPr>
          <w:p>
            <w:pPr>
              <w:widowControl/>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否</w:t>
            </w:r>
          </w:p>
        </w:tc>
        <w:tc>
          <w:tcPr>
            <w:tcW w:w="22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否</w:t>
            </w:r>
          </w:p>
        </w:tc>
        <w:tc>
          <w:tcPr>
            <w:tcW w:w="22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w:t>
            </w:r>
          </w:p>
        </w:tc>
        <w:tc>
          <w:tcPr>
            <w:tcW w:w="19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w:t>
            </w:r>
          </w:p>
        </w:tc>
        <w:tc>
          <w:tcPr>
            <w:tcW w:w="199"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是</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是</w:t>
            </w:r>
          </w:p>
        </w:tc>
        <w:tc>
          <w:tcPr>
            <w:tcW w:w="189"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w:t>
            </w:r>
          </w:p>
        </w:tc>
        <w:tc>
          <w:tcPr>
            <w:tcW w:w="185"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是</w:t>
            </w:r>
          </w:p>
        </w:tc>
        <w:tc>
          <w:tcPr>
            <w:tcW w:w="180"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w:t>
            </w:r>
          </w:p>
        </w:tc>
        <w:tc>
          <w:tcPr>
            <w:tcW w:w="20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w:t>
            </w:r>
          </w:p>
        </w:tc>
      </w:tr>
      <w:tr>
        <w:tblPrEx>
          <w:tblCellMar>
            <w:top w:w="0" w:type="dxa"/>
            <w:left w:w="108" w:type="dxa"/>
            <w:bottom w:w="0" w:type="dxa"/>
            <w:right w:w="108" w:type="dxa"/>
          </w:tblCellMar>
        </w:tblPrEx>
        <w:trPr>
          <w:trHeight w:val="800" w:hRule="atLeast"/>
        </w:trPr>
        <w:tc>
          <w:tcPr>
            <w:tcW w:w="256"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right"/>
              <w:textAlignment w:val="center"/>
              <w:rPr>
                <w:rFonts w:ascii="宋体" w:hAnsi="宋体" w:eastAsia="宋体" w:cs="宋体"/>
                <w:sz w:val="15"/>
                <w:szCs w:val="15"/>
              </w:rPr>
            </w:pPr>
            <w:r>
              <w:rPr>
                <w:rFonts w:hint="eastAsia" w:ascii="宋体" w:hAnsi="宋体" w:eastAsia="宋体" w:cs="宋体"/>
                <w:kern w:val="0"/>
                <w:sz w:val="15"/>
                <w:szCs w:val="15"/>
                <w:lang w:bidi="ar"/>
              </w:rPr>
              <w:t>495511</w:t>
            </w:r>
          </w:p>
        </w:tc>
        <w:tc>
          <w:tcPr>
            <w:tcW w:w="8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5"/>
                <w:szCs w:val="15"/>
              </w:rPr>
            </w:pPr>
            <w:r>
              <w:rPr>
                <w:rFonts w:hint="eastAsia" w:ascii="宋体" w:hAnsi="宋体" w:eastAsia="宋体" w:cs="宋体"/>
                <w:kern w:val="0"/>
                <w:sz w:val="15"/>
                <w:szCs w:val="15"/>
                <w:lang w:bidi="ar"/>
              </w:rPr>
              <w:t>1</w:t>
            </w:r>
          </w:p>
        </w:tc>
        <w:tc>
          <w:tcPr>
            <w:tcW w:w="559"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sz w:val="15"/>
                <w:szCs w:val="15"/>
              </w:rPr>
            </w:pPr>
            <w:r>
              <w:rPr>
                <w:rFonts w:hint="eastAsia" w:ascii="宋体" w:hAnsi="宋体" w:eastAsia="宋体" w:cs="宋体"/>
                <w:kern w:val="0"/>
                <w:sz w:val="15"/>
                <w:szCs w:val="15"/>
                <w:lang w:bidi="ar"/>
              </w:rPr>
              <w:t>长条凳[通用类;/;/;L1500mm*W380mm*H460mm，松木，腿8cm*5cm，面2cm厚]</w:t>
            </w:r>
          </w:p>
        </w:tc>
        <w:tc>
          <w:tcPr>
            <w:tcW w:w="21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5"/>
                <w:szCs w:val="15"/>
              </w:rPr>
            </w:pPr>
            <w:r>
              <w:rPr>
                <w:rFonts w:hint="eastAsia" w:ascii="宋体" w:hAnsi="宋体" w:eastAsia="宋体" w:cs="宋体"/>
                <w:kern w:val="0"/>
                <w:sz w:val="15"/>
                <w:szCs w:val="15"/>
                <w:lang w:bidi="ar"/>
              </w:rPr>
              <w:t>是</w:t>
            </w:r>
          </w:p>
        </w:tc>
        <w:tc>
          <w:tcPr>
            <w:tcW w:w="22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5"/>
                <w:szCs w:val="15"/>
              </w:rPr>
            </w:pPr>
            <w:r>
              <w:rPr>
                <w:rFonts w:hint="eastAsia" w:ascii="宋体" w:hAnsi="宋体" w:eastAsia="宋体" w:cs="宋体"/>
                <w:kern w:val="0"/>
                <w:sz w:val="15"/>
                <w:szCs w:val="15"/>
                <w:lang w:bidi="ar"/>
              </w:rPr>
              <w:t>修订/补充现有编码说明</w:t>
            </w:r>
          </w:p>
        </w:tc>
        <w:tc>
          <w:tcPr>
            <w:tcW w:w="238"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sz w:val="15"/>
                <w:szCs w:val="15"/>
              </w:rPr>
            </w:pPr>
            <w:r>
              <w:rPr>
                <w:rFonts w:hint="eastAsia" w:ascii="宋体" w:hAnsi="宋体" w:eastAsia="宋体" w:cs="宋体"/>
                <w:kern w:val="0"/>
                <w:sz w:val="15"/>
                <w:szCs w:val="15"/>
                <w:lang w:bidi="ar"/>
              </w:rPr>
              <w:t>P1490024000</w:t>
            </w:r>
          </w:p>
        </w:tc>
        <w:tc>
          <w:tcPr>
            <w:tcW w:w="199"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sz w:val="15"/>
                <w:szCs w:val="15"/>
              </w:rPr>
            </w:pPr>
            <w:r>
              <w:rPr>
                <w:rFonts w:hint="eastAsia" w:ascii="宋体" w:hAnsi="宋体" w:eastAsia="宋体" w:cs="宋体"/>
                <w:kern w:val="0"/>
                <w:sz w:val="15"/>
                <w:szCs w:val="15"/>
                <w:lang w:bidi="ar"/>
              </w:rPr>
              <w:t>长条凳[通用类;/;/;L1500mm*W380mm*H460mm，木质]</w:t>
            </w:r>
          </w:p>
        </w:tc>
        <w:tc>
          <w:tcPr>
            <w:tcW w:w="23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是</w:t>
            </w:r>
          </w:p>
        </w:tc>
        <w:tc>
          <w:tcPr>
            <w:tcW w:w="355"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是</w:t>
            </w:r>
          </w:p>
        </w:tc>
        <w:tc>
          <w:tcPr>
            <w:tcW w:w="24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是</w:t>
            </w:r>
          </w:p>
        </w:tc>
        <w:tc>
          <w:tcPr>
            <w:tcW w:w="248" w:type="pct"/>
            <w:tcBorders>
              <w:top w:val="single" w:color="000000" w:sz="4" w:space="0"/>
              <w:left w:val="single" w:color="000000" w:sz="4" w:space="0"/>
              <w:bottom w:val="nil"/>
              <w:right w:val="single" w:color="000000" w:sz="4" w:space="0"/>
            </w:tcBorders>
            <w:shd w:val="clear" w:color="auto" w:fill="auto"/>
            <w:noWrap/>
            <w:vAlign w:val="center"/>
          </w:tcPr>
          <w:p>
            <w:pPr>
              <w:widowControl/>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否</w:t>
            </w:r>
          </w:p>
        </w:tc>
        <w:tc>
          <w:tcPr>
            <w:tcW w:w="22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否</w:t>
            </w:r>
          </w:p>
        </w:tc>
        <w:tc>
          <w:tcPr>
            <w:tcW w:w="22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w:t>
            </w:r>
          </w:p>
        </w:tc>
        <w:tc>
          <w:tcPr>
            <w:tcW w:w="19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w:t>
            </w:r>
          </w:p>
        </w:tc>
        <w:tc>
          <w:tcPr>
            <w:tcW w:w="199"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是</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是</w:t>
            </w:r>
          </w:p>
        </w:tc>
        <w:tc>
          <w:tcPr>
            <w:tcW w:w="189"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w:t>
            </w:r>
          </w:p>
        </w:tc>
        <w:tc>
          <w:tcPr>
            <w:tcW w:w="185"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是</w:t>
            </w:r>
          </w:p>
        </w:tc>
        <w:tc>
          <w:tcPr>
            <w:tcW w:w="180"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w:t>
            </w:r>
          </w:p>
        </w:tc>
        <w:tc>
          <w:tcPr>
            <w:tcW w:w="20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w:t>
            </w:r>
          </w:p>
        </w:tc>
      </w:tr>
      <w:tr>
        <w:tblPrEx>
          <w:tblCellMar>
            <w:top w:w="0" w:type="dxa"/>
            <w:left w:w="108" w:type="dxa"/>
            <w:bottom w:w="0" w:type="dxa"/>
            <w:right w:w="108" w:type="dxa"/>
          </w:tblCellMar>
        </w:tblPrEx>
        <w:trPr>
          <w:trHeight w:val="800" w:hRule="atLeast"/>
        </w:trPr>
        <w:tc>
          <w:tcPr>
            <w:tcW w:w="256"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right"/>
              <w:textAlignment w:val="center"/>
              <w:rPr>
                <w:rFonts w:ascii="宋体" w:hAnsi="宋体" w:eastAsia="宋体" w:cs="宋体"/>
                <w:sz w:val="15"/>
                <w:szCs w:val="15"/>
              </w:rPr>
            </w:pPr>
            <w:r>
              <w:rPr>
                <w:rFonts w:hint="eastAsia" w:ascii="宋体" w:hAnsi="宋体" w:eastAsia="宋体" w:cs="宋体"/>
                <w:kern w:val="0"/>
                <w:sz w:val="15"/>
                <w:szCs w:val="15"/>
                <w:lang w:bidi="ar"/>
              </w:rPr>
              <w:t>497503</w:t>
            </w:r>
          </w:p>
        </w:tc>
        <w:tc>
          <w:tcPr>
            <w:tcW w:w="8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5"/>
                <w:szCs w:val="15"/>
              </w:rPr>
            </w:pPr>
            <w:r>
              <w:rPr>
                <w:rFonts w:hint="eastAsia" w:ascii="宋体" w:hAnsi="宋体" w:eastAsia="宋体" w:cs="宋体"/>
                <w:kern w:val="0"/>
                <w:sz w:val="15"/>
                <w:szCs w:val="15"/>
                <w:lang w:bidi="ar"/>
              </w:rPr>
              <w:t>1</w:t>
            </w:r>
          </w:p>
        </w:tc>
        <w:tc>
          <w:tcPr>
            <w:tcW w:w="559"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sz w:val="15"/>
                <w:szCs w:val="15"/>
              </w:rPr>
            </w:pPr>
            <w:r>
              <w:rPr>
                <w:rFonts w:hint="eastAsia" w:ascii="宋体" w:hAnsi="宋体" w:eastAsia="宋体" w:cs="宋体"/>
                <w:kern w:val="0"/>
                <w:sz w:val="15"/>
                <w:szCs w:val="15"/>
                <w:lang w:bidi="ar"/>
              </w:rPr>
              <w:t>车载台主机[远东通信;河北远东通信系统工程有限公司;FHC-MDT-200-RU;含空客电台]</w:t>
            </w:r>
          </w:p>
        </w:tc>
        <w:tc>
          <w:tcPr>
            <w:tcW w:w="21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5"/>
                <w:szCs w:val="15"/>
              </w:rPr>
            </w:pPr>
            <w:r>
              <w:rPr>
                <w:rFonts w:hint="eastAsia" w:ascii="宋体" w:hAnsi="宋体" w:eastAsia="宋体" w:cs="宋体"/>
                <w:kern w:val="0"/>
                <w:sz w:val="15"/>
                <w:szCs w:val="15"/>
                <w:lang w:bidi="ar"/>
              </w:rPr>
              <w:t>是</w:t>
            </w:r>
          </w:p>
        </w:tc>
        <w:tc>
          <w:tcPr>
            <w:tcW w:w="22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5"/>
                <w:szCs w:val="15"/>
              </w:rPr>
            </w:pPr>
            <w:r>
              <w:rPr>
                <w:rFonts w:hint="eastAsia" w:ascii="宋体" w:hAnsi="宋体" w:eastAsia="宋体" w:cs="宋体"/>
                <w:kern w:val="0"/>
                <w:sz w:val="15"/>
                <w:szCs w:val="15"/>
                <w:lang w:bidi="ar"/>
              </w:rPr>
              <w:t>修订/补充现有编码说明</w:t>
            </w:r>
          </w:p>
        </w:tc>
        <w:tc>
          <w:tcPr>
            <w:tcW w:w="238"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sz w:val="15"/>
                <w:szCs w:val="15"/>
              </w:rPr>
            </w:pPr>
            <w:r>
              <w:rPr>
                <w:rFonts w:hint="eastAsia" w:ascii="宋体" w:hAnsi="宋体" w:eastAsia="宋体" w:cs="宋体"/>
                <w:kern w:val="0"/>
                <w:sz w:val="15"/>
                <w:szCs w:val="15"/>
                <w:lang w:bidi="ar"/>
              </w:rPr>
              <w:t>K7800000008</w:t>
            </w:r>
          </w:p>
        </w:tc>
        <w:tc>
          <w:tcPr>
            <w:tcW w:w="199"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sz w:val="15"/>
                <w:szCs w:val="15"/>
              </w:rPr>
            </w:pPr>
            <w:r>
              <w:rPr>
                <w:rFonts w:hint="eastAsia" w:ascii="宋体" w:hAnsi="宋体" w:eastAsia="宋体" w:cs="宋体"/>
                <w:kern w:val="0"/>
                <w:sz w:val="15"/>
                <w:szCs w:val="15"/>
                <w:lang w:bidi="ar"/>
              </w:rPr>
              <w:t>车载台主机[54所;FHC-MDT-200]</w:t>
            </w:r>
          </w:p>
        </w:tc>
        <w:tc>
          <w:tcPr>
            <w:tcW w:w="23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是</w:t>
            </w:r>
          </w:p>
        </w:tc>
        <w:tc>
          <w:tcPr>
            <w:tcW w:w="355"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是</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是</w:t>
            </w:r>
          </w:p>
        </w:tc>
        <w:tc>
          <w:tcPr>
            <w:tcW w:w="24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是</w:t>
            </w:r>
          </w:p>
        </w:tc>
        <w:tc>
          <w:tcPr>
            <w:tcW w:w="248" w:type="pct"/>
            <w:tcBorders>
              <w:top w:val="single" w:color="000000" w:sz="4" w:space="0"/>
              <w:left w:val="single" w:color="000000" w:sz="4" w:space="0"/>
              <w:bottom w:val="nil"/>
              <w:right w:val="single" w:color="000000" w:sz="4" w:space="0"/>
            </w:tcBorders>
            <w:shd w:val="clear" w:color="auto" w:fill="auto"/>
            <w:noWrap/>
            <w:vAlign w:val="center"/>
          </w:tcPr>
          <w:p>
            <w:pPr>
              <w:widowControl/>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否</w:t>
            </w:r>
          </w:p>
        </w:tc>
        <w:tc>
          <w:tcPr>
            <w:tcW w:w="22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否</w:t>
            </w:r>
          </w:p>
        </w:tc>
        <w:tc>
          <w:tcPr>
            <w:tcW w:w="22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w:t>
            </w:r>
          </w:p>
        </w:tc>
        <w:tc>
          <w:tcPr>
            <w:tcW w:w="19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w:t>
            </w:r>
          </w:p>
        </w:tc>
        <w:tc>
          <w:tcPr>
            <w:tcW w:w="199"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是</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是</w:t>
            </w:r>
          </w:p>
        </w:tc>
        <w:tc>
          <w:tcPr>
            <w:tcW w:w="189"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w:t>
            </w:r>
          </w:p>
        </w:tc>
        <w:tc>
          <w:tcPr>
            <w:tcW w:w="185"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是</w:t>
            </w:r>
          </w:p>
        </w:tc>
        <w:tc>
          <w:tcPr>
            <w:tcW w:w="180"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w:t>
            </w:r>
          </w:p>
        </w:tc>
        <w:tc>
          <w:tcPr>
            <w:tcW w:w="20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w:t>
            </w:r>
          </w:p>
        </w:tc>
      </w:tr>
      <w:tr>
        <w:tblPrEx>
          <w:tblCellMar>
            <w:top w:w="0" w:type="dxa"/>
            <w:left w:w="108" w:type="dxa"/>
            <w:bottom w:w="0" w:type="dxa"/>
            <w:right w:w="108" w:type="dxa"/>
          </w:tblCellMar>
        </w:tblPrEx>
        <w:trPr>
          <w:trHeight w:val="800" w:hRule="atLeast"/>
        </w:trPr>
        <w:tc>
          <w:tcPr>
            <w:tcW w:w="256"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right"/>
              <w:textAlignment w:val="center"/>
              <w:rPr>
                <w:rFonts w:ascii="宋体" w:hAnsi="宋体" w:eastAsia="宋体" w:cs="宋体"/>
                <w:sz w:val="15"/>
                <w:szCs w:val="15"/>
              </w:rPr>
            </w:pPr>
            <w:r>
              <w:rPr>
                <w:rFonts w:hint="eastAsia" w:ascii="宋体" w:hAnsi="宋体" w:eastAsia="宋体" w:cs="宋体"/>
                <w:kern w:val="0"/>
                <w:sz w:val="15"/>
                <w:szCs w:val="15"/>
                <w:lang w:bidi="ar"/>
              </w:rPr>
              <w:t>495525</w:t>
            </w:r>
          </w:p>
        </w:tc>
        <w:tc>
          <w:tcPr>
            <w:tcW w:w="8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5"/>
                <w:szCs w:val="15"/>
              </w:rPr>
            </w:pPr>
            <w:r>
              <w:rPr>
                <w:rFonts w:hint="eastAsia" w:ascii="宋体" w:hAnsi="宋体" w:eastAsia="宋体" w:cs="宋体"/>
                <w:kern w:val="0"/>
                <w:sz w:val="15"/>
                <w:szCs w:val="15"/>
                <w:lang w:bidi="ar"/>
              </w:rPr>
              <w:t>1</w:t>
            </w:r>
          </w:p>
        </w:tc>
        <w:tc>
          <w:tcPr>
            <w:tcW w:w="559"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sz w:val="15"/>
                <w:szCs w:val="15"/>
              </w:rPr>
            </w:pPr>
            <w:r>
              <w:rPr>
                <w:rFonts w:hint="eastAsia" w:ascii="宋体" w:hAnsi="宋体" w:eastAsia="宋体" w:cs="宋体"/>
                <w:kern w:val="0"/>
                <w:sz w:val="15"/>
                <w:szCs w:val="15"/>
                <w:lang w:bidi="ar"/>
              </w:rPr>
              <w:t>车载无线单元(TAU)[鼎桥;成都鼎桥通信技术有限公司;TAU610-C71;/]</w:t>
            </w:r>
          </w:p>
        </w:tc>
        <w:tc>
          <w:tcPr>
            <w:tcW w:w="21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5"/>
                <w:szCs w:val="15"/>
              </w:rPr>
            </w:pPr>
            <w:r>
              <w:rPr>
                <w:rFonts w:hint="eastAsia" w:ascii="宋体" w:hAnsi="宋体" w:eastAsia="宋体" w:cs="宋体"/>
                <w:kern w:val="0"/>
                <w:sz w:val="15"/>
                <w:szCs w:val="15"/>
                <w:lang w:bidi="ar"/>
              </w:rPr>
              <w:t>是</w:t>
            </w:r>
          </w:p>
        </w:tc>
        <w:tc>
          <w:tcPr>
            <w:tcW w:w="22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5"/>
                <w:szCs w:val="15"/>
              </w:rPr>
            </w:pPr>
            <w:r>
              <w:rPr>
                <w:rFonts w:hint="eastAsia" w:ascii="宋体" w:hAnsi="宋体" w:eastAsia="宋体" w:cs="宋体"/>
                <w:kern w:val="0"/>
                <w:sz w:val="15"/>
                <w:szCs w:val="15"/>
                <w:lang w:bidi="ar"/>
              </w:rPr>
              <w:t>修订/补充现有编码说明</w:t>
            </w:r>
          </w:p>
        </w:tc>
        <w:tc>
          <w:tcPr>
            <w:tcW w:w="238"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sz w:val="15"/>
                <w:szCs w:val="15"/>
              </w:rPr>
            </w:pPr>
            <w:r>
              <w:rPr>
                <w:rFonts w:hint="eastAsia" w:ascii="宋体" w:hAnsi="宋体" w:eastAsia="宋体" w:cs="宋体"/>
                <w:kern w:val="0"/>
                <w:sz w:val="15"/>
                <w:szCs w:val="15"/>
                <w:lang w:bidi="ar"/>
              </w:rPr>
              <w:t>K0300045000</w:t>
            </w:r>
          </w:p>
        </w:tc>
        <w:tc>
          <w:tcPr>
            <w:tcW w:w="199"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sz w:val="15"/>
                <w:szCs w:val="15"/>
              </w:rPr>
            </w:pPr>
            <w:r>
              <w:rPr>
                <w:rFonts w:hint="eastAsia" w:ascii="宋体" w:hAnsi="宋体" w:eastAsia="宋体" w:cs="宋体"/>
                <w:kern w:val="0"/>
                <w:sz w:val="15"/>
                <w:szCs w:val="15"/>
                <w:lang w:bidi="ar"/>
              </w:rPr>
              <w:t>车载无线单元(TAU)[华为;华为技术有限公司;TAU610;/]</w:t>
            </w:r>
          </w:p>
        </w:tc>
        <w:tc>
          <w:tcPr>
            <w:tcW w:w="23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是</w:t>
            </w:r>
          </w:p>
        </w:tc>
        <w:tc>
          <w:tcPr>
            <w:tcW w:w="355"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是</w:t>
            </w: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是</w:t>
            </w:r>
          </w:p>
        </w:tc>
        <w:tc>
          <w:tcPr>
            <w:tcW w:w="24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是</w:t>
            </w:r>
          </w:p>
        </w:tc>
        <w:tc>
          <w:tcPr>
            <w:tcW w:w="24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eastAsia="宋体" w:cs="宋体"/>
                <w:sz w:val="20"/>
                <w:szCs w:val="20"/>
              </w:rPr>
            </w:pPr>
            <w:r>
              <w:rPr>
                <w:rFonts w:hint="eastAsia" w:ascii="宋体" w:hAnsi="宋体" w:eastAsia="宋体" w:cs="宋体"/>
                <w:kern w:val="0"/>
                <w:sz w:val="20"/>
                <w:szCs w:val="20"/>
                <w:lang w:bidi="ar"/>
              </w:rPr>
              <w:t>否</w:t>
            </w:r>
          </w:p>
        </w:tc>
        <w:tc>
          <w:tcPr>
            <w:tcW w:w="22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否</w:t>
            </w:r>
          </w:p>
        </w:tc>
        <w:tc>
          <w:tcPr>
            <w:tcW w:w="22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w:t>
            </w:r>
          </w:p>
        </w:tc>
        <w:tc>
          <w:tcPr>
            <w:tcW w:w="19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w:t>
            </w:r>
          </w:p>
        </w:tc>
        <w:tc>
          <w:tcPr>
            <w:tcW w:w="199"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是</w:t>
            </w: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是</w:t>
            </w:r>
          </w:p>
        </w:tc>
        <w:tc>
          <w:tcPr>
            <w:tcW w:w="189"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w:t>
            </w:r>
          </w:p>
        </w:tc>
        <w:tc>
          <w:tcPr>
            <w:tcW w:w="185"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是</w:t>
            </w:r>
          </w:p>
        </w:tc>
        <w:tc>
          <w:tcPr>
            <w:tcW w:w="180"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w:t>
            </w:r>
          </w:p>
        </w:tc>
        <w:tc>
          <w:tcPr>
            <w:tcW w:w="20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sz w:val="18"/>
                <w:szCs w:val="18"/>
              </w:rPr>
            </w:pPr>
            <w:r>
              <w:rPr>
                <w:rFonts w:hint="eastAsia" w:ascii="宋体" w:hAnsi="宋体" w:eastAsia="宋体" w:cs="宋体"/>
                <w:kern w:val="0"/>
                <w:sz w:val="18"/>
                <w:szCs w:val="18"/>
                <w:lang w:bidi="ar"/>
              </w:rPr>
              <w:t>/</w:t>
            </w:r>
          </w:p>
        </w:tc>
      </w:tr>
      <w:tr>
        <w:tblPrEx>
          <w:tblCellMar>
            <w:top w:w="0" w:type="dxa"/>
            <w:left w:w="108" w:type="dxa"/>
            <w:bottom w:w="0" w:type="dxa"/>
            <w:right w:w="108" w:type="dxa"/>
          </w:tblCellMar>
        </w:tblPrEx>
        <w:trPr>
          <w:trHeight w:val="800" w:hRule="atLeast"/>
        </w:trPr>
        <w:tc>
          <w:tcPr>
            <w:tcW w:w="256"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right"/>
              <w:textAlignment w:val="center"/>
              <w:rPr>
                <w:rFonts w:ascii="宋体" w:hAnsi="宋体" w:eastAsia="宋体" w:cs="宋体"/>
                <w:kern w:val="0"/>
                <w:sz w:val="15"/>
                <w:szCs w:val="15"/>
                <w:lang w:bidi="ar"/>
              </w:rPr>
            </w:pPr>
            <w:r>
              <w:rPr>
                <w:rFonts w:hint="eastAsia" w:ascii="宋体" w:hAnsi="宋体" w:eastAsia="宋体" w:cs="宋体"/>
                <w:kern w:val="0"/>
                <w:sz w:val="15"/>
                <w:szCs w:val="15"/>
                <w:lang w:bidi="ar"/>
              </w:rPr>
              <w:t>...</w:t>
            </w:r>
          </w:p>
        </w:tc>
        <w:tc>
          <w:tcPr>
            <w:tcW w:w="8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kern w:val="0"/>
                <w:sz w:val="15"/>
                <w:szCs w:val="15"/>
                <w:lang w:bidi="ar"/>
              </w:rPr>
            </w:pPr>
          </w:p>
        </w:tc>
        <w:tc>
          <w:tcPr>
            <w:tcW w:w="559"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kern w:val="0"/>
                <w:sz w:val="15"/>
                <w:szCs w:val="15"/>
                <w:lang w:bidi="ar"/>
              </w:rPr>
            </w:pPr>
          </w:p>
        </w:tc>
        <w:tc>
          <w:tcPr>
            <w:tcW w:w="21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kern w:val="0"/>
                <w:sz w:val="15"/>
                <w:szCs w:val="15"/>
                <w:lang w:bidi="ar"/>
              </w:rPr>
            </w:pPr>
          </w:p>
        </w:tc>
        <w:tc>
          <w:tcPr>
            <w:tcW w:w="22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kern w:val="0"/>
                <w:sz w:val="15"/>
                <w:szCs w:val="15"/>
                <w:lang w:bidi="ar"/>
              </w:rPr>
            </w:pPr>
          </w:p>
        </w:tc>
        <w:tc>
          <w:tcPr>
            <w:tcW w:w="238"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kern w:val="0"/>
                <w:sz w:val="15"/>
                <w:szCs w:val="15"/>
                <w:lang w:bidi="ar"/>
              </w:rPr>
            </w:pPr>
          </w:p>
        </w:tc>
        <w:tc>
          <w:tcPr>
            <w:tcW w:w="199"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textAlignment w:val="center"/>
              <w:rPr>
                <w:rFonts w:ascii="宋体" w:hAnsi="宋体" w:eastAsia="宋体" w:cs="宋体"/>
                <w:kern w:val="0"/>
                <w:sz w:val="15"/>
                <w:szCs w:val="15"/>
                <w:lang w:bidi="ar"/>
              </w:rPr>
            </w:pPr>
          </w:p>
        </w:tc>
        <w:tc>
          <w:tcPr>
            <w:tcW w:w="23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kern w:val="0"/>
                <w:sz w:val="20"/>
                <w:szCs w:val="20"/>
                <w:lang w:bidi="ar"/>
              </w:rPr>
            </w:pPr>
          </w:p>
        </w:tc>
        <w:tc>
          <w:tcPr>
            <w:tcW w:w="355"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kern w:val="0"/>
                <w:sz w:val="20"/>
                <w:szCs w:val="20"/>
                <w:lang w:bidi="ar"/>
              </w:rPr>
            </w:pPr>
          </w:p>
        </w:tc>
        <w:tc>
          <w:tcPr>
            <w:tcW w:w="277"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kern w:val="0"/>
                <w:sz w:val="18"/>
                <w:szCs w:val="18"/>
                <w:lang w:bidi="ar"/>
              </w:rPr>
            </w:pPr>
          </w:p>
        </w:tc>
        <w:tc>
          <w:tcPr>
            <w:tcW w:w="243"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kern w:val="0"/>
                <w:sz w:val="18"/>
                <w:szCs w:val="18"/>
                <w:lang w:bidi="ar"/>
              </w:rPr>
            </w:pPr>
          </w:p>
        </w:tc>
        <w:tc>
          <w:tcPr>
            <w:tcW w:w="248" w:type="pct"/>
            <w:tcBorders>
              <w:top w:val="single" w:color="000000" w:sz="4" w:space="0"/>
              <w:left w:val="single" w:color="000000" w:sz="4" w:space="0"/>
              <w:bottom w:val="nil"/>
              <w:right w:val="single" w:color="000000" w:sz="4" w:space="0"/>
            </w:tcBorders>
            <w:shd w:val="clear" w:color="auto" w:fill="auto"/>
            <w:noWrap/>
            <w:vAlign w:val="center"/>
          </w:tcPr>
          <w:p>
            <w:pPr>
              <w:widowControl/>
              <w:jc w:val="center"/>
              <w:textAlignment w:val="center"/>
              <w:rPr>
                <w:rFonts w:ascii="宋体" w:hAnsi="宋体" w:eastAsia="宋体" w:cs="宋体"/>
                <w:kern w:val="0"/>
                <w:sz w:val="20"/>
                <w:szCs w:val="20"/>
                <w:lang w:bidi="ar"/>
              </w:rPr>
            </w:pPr>
          </w:p>
        </w:tc>
        <w:tc>
          <w:tcPr>
            <w:tcW w:w="22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kern w:val="0"/>
                <w:sz w:val="18"/>
                <w:szCs w:val="18"/>
                <w:lang w:bidi="ar"/>
              </w:rPr>
            </w:pPr>
          </w:p>
        </w:tc>
        <w:tc>
          <w:tcPr>
            <w:tcW w:w="22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kern w:val="0"/>
                <w:sz w:val="18"/>
                <w:szCs w:val="18"/>
                <w:lang w:bidi="ar"/>
              </w:rPr>
            </w:pPr>
          </w:p>
        </w:tc>
        <w:tc>
          <w:tcPr>
            <w:tcW w:w="19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kern w:val="0"/>
                <w:sz w:val="18"/>
                <w:szCs w:val="18"/>
                <w:lang w:bidi="ar"/>
              </w:rPr>
            </w:pPr>
          </w:p>
        </w:tc>
        <w:tc>
          <w:tcPr>
            <w:tcW w:w="199"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kern w:val="0"/>
                <w:sz w:val="18"/>
                <w:szCs w:val="18"/>
                <w:lang w:bidi="ar"/>
              </w:rPr>
            </w:pPr>
          </w:p>
        </w:tc>
        <w:tc>
          <w:tcPr>
            <w:tcW w:w="258"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kern w:val="0"/>
                <w:sz w:val="18"/>
                <w:szCs w:val="18"/>
                <w:lang w:bidi="ar"/>
              </w:rPr>
            </w:pPr>
          </w:p>
        </w:tc>
        <w:tc>
          <w:tcPr>
            <w:tcW w:w="189"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kern w:val="0"/>
                <w:sz w:val="18"/>
                <w:szCs w:val="18"/>
                <w:lang w:bidi="ar"/>
              </w:rPr>
            </w:pPr>
          </w:p>
        </w:tc>
        <w:tc>
          <w:tcPr>
            <w:tcW w:w="185"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kern w:val="0"/>
                <w:sz w:val="18"/>
                <w:szCs w:val="18"/>
                <w:lang w:bidi="ar"/>
              </w:rPr>
            </w:pPr>
          </w:p>
        </w:tc>
        <w:tc>
          <w:tcPr>
            <w:tcW w:w="180"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kern w:val="0"/>
                <w:sz w:val="18"/>
                <w:szCs w:val="18"/>
                <w:lang w:bidi="ar"/>
              </w:rPr>
            </w:pPr>
          </w:p>
        </w:tc>
        <w:tc>
          <w:tcPr>
            <w:tcW w:w="204" w:type="pct"/>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eastAsia="宋体" w:cs="宋体"/>
                <w:kern w:val="0"/>
                <w:sz w:val="18"/>
                <w:szCs w:val="18"/>
                <w:lang w:bidi="ar"/>
              </w:rPr>
            </w:pPr>
          </w:p>
        </w:tc>
      </w:tr>
    </w:tbl>
    <w:p>
      <w:pPr>
        <w:spacing w:line="560" w:lineRule="exact"/>
        <w:ind w:firstLine="2560" w:firstLineChars="800"/>
        <w:jc w:val="center"/>
        <w:rPr>
          <w:rFonts w:ascii="Times New Roman" w:hAnsi="Times New Roman" w:eastAsia="仿宋_GB2312" w:cs="仿宋_GB2312"/>
          <w:sz w:val="32"/>
          <w:szCs w:val="32"/>
          <w:lang w:bidi="ar"/>
        </w:rPr>
      </w:pPr>
    </w:p>
    <w:p>
      <w:pPr>
        <w:spacing w:line="560" w:lineRule="exact"/>
        <w:jc w:val="left"/>
        <w:rPr>
          <w:rFonts w:ascii="Times New Roman" w:hAnsi="Times New Roman" w:eastAsia="仿宋_GB2312" w:cs="仿宋_GB2312"/>
          <w:sz w:val="24"/>
          <w:lang w:bidi="ar"/>
        </w:rPr>
      </w:pPr>
      <w:r>
        <w:rPr>
          <w:rFonts w:hint="eastAsia" w:ascii="Times New Roman" w:hAnsi="Times New Roman" w:eastAsia="仿宋_GB2312" w:cs="仿宋_GB2312"/>
          <w:sz w:val="24"/>
          <w:lang w:bidi="ar"/>
        </w:rPr>
        <w:t>备注：</w:t>
      </w:r>
    </w:p>
    <w:p>
      <w:pPr>
        <w:numPr>
          <w:ilvl w:val="0"/>
          <w:numId w:val="3"/>
        </w:numPr>
        <w:spacing w:line="560" w:lineRule="exact"/>
        <w:jc w:val="left"/>
        <w:rPr>
          <w:rFonts w:ascii="Times New Roman" w:hAnsi="Times New Roman" w:eastAsia="仿宋_GB2312" w:cs="仿宋_GB2312"/>
          <w:sz w:val="24"/>
          <w:lang w:bidi="ar"/>
        </w:rPr>
      </w:pPr>
      <w:r>
        <w:rPr>
          <w:rFonts w:hint="eastAsia" w:ascii="Times New Roman" w:hAnsi="Times New Roman" w:eastAsia="仿宋_GB2312" w:cs="仿宋_GB2312"/>
          <w:sz w:val="24"/>
          <w:lang w:bidi="ar"/>
        </w:rPr>
        <w:t>【编码申请单号</w:t>
      </w:r>
      <w:r>
        <w:rPr>
          <w:rFonts w:ascii="Times New Roman" w:hAnsi="Times New Roman" w:eastAsia="仿宋_GB2312" w:cs="仿宋_GB2312"/>
          <w:sz w:val="24"/>
          <w:lang w:bidi="ar"/>
        </w:rPr>
        <w:t>/</w:t>
      </w:r>
      <w:r>
        <w:rPr>
          <w:rFonts w:hint="eastAsia" w:ascii="Times New Roman" w:hAnsi="Times New Roman" w:eastAsia="仿宋_GB2312" w:cs="仿宋_GB2312"/>
          <w:sz w:val="24"/>
          <w:lang w:bidi="ar"/>
        </w:rPr>
        <w:t>物资编码】申请编码时提供编码申请单号，修订编码时提供物资编码。</w:t>
      </w:r>
    </w:p>
    <w:p>
      <w:pPr>
        <w:numPr>
          <w:ilvl w:val="0"/>
          <w:numId w:val="3"/>
        </w:numPr>
        <w:spacing w:line="560" w:lineRule="exact"/>
        <w:jc w:val="left"/>
        <w:rPr>
          <w:rFonts w:ascii="Times New Roman" w:hAnsi="Times New Roman" w:eastAsia="仿宋_GB2312" w:cs="仿宋_GB2312"/>
          <w:sz w:val="24"/>
          <w:lang w:bidi="ar"/>
        </w:rPr>
      </w:pPr>
      <w:r>
        <w:rPr>
          <w:rFonts w:hint="eastAsia" w:ascii="Times New Roman" w:hAnsi="Times New Roman" w:eastAsia="仿宋_GB2312" w:cs="仿宋_GB2312"/>
          <w:sz w:val="24"/>
          <w:lang w:bidi="ar"/>
        </w:rPr>
        <w:t>【行号】为编码申请单中行号。修订编码时无需填写。</w:t>
      </w:r>
    </w:p>
    <w:p>
      <w:pPr>
        <w:jc w:val="left"/>
        <w:rPr>
          <w:rFonts w:ascii="黑体" w:hAnsi="黑体" w:eastAsia="黑体" w:cs="黑体"/>
          <w:sz w:val="32"/>
          <w:szCs w:val="32"/>
          <w:lang w:bidi="ar"/>
        </w:rPr>
        <w:sectPr>
          <w:pgSz w:w="16838" w:h="11906" w:orient="landscape"/>
          <w:pgMar w:top="1587" w:right="2098" w:bottom="1474" w:left="1984" w:header="851" w:footer="992" w:gutter="0"/>
          <w:pgNumType w:fmt="numberInDash" w:start="1"/>
          <w:cols w:space="0" w:num="1"/>
          <w:docGrid w:type="lines" w:linePitch="318" w:charSpace="0"/>
        </w:sectPr>
      </w:pPr>
    </w:p>
    <w:p>
      <w:pPr>
        <w:jc w:val="left"/>
        <w:rPr>
          <w:rFonts w:ascii="黑体" w:hAnsi="黑体" w:eastAsia="黑体" w:cs="黑体"/>
          <w:sz w:val="32"/>
          <w:szCs w:val="32"/>
          <w:lang w:bidi="ar"/>
        </w:rPr>
      </w:pPr>
    </w:p>
    <w:p>
      <w:pPr>
        <w:spacing w:line="560" w:lineRule="exact"/>
        <w:outlineLvl w:val="0"/>
        <w:rPr>
          <w:rFonts w:ascii="黑体" w:hAnsi="黑体" w:eastAsia="黑体" w:cs="黑体"/>
          <w:sz w:val="32"/>
          <w:szCs w:val="32"/>
          <w:lang w:bidi="ar"/>
        </w:rPr>
      </w:pPr>
      <w:r>
        <w:rPr>
          <w:rFonts w:hint="eastAsia" w:ascii="黑体" w:hAnsi="黑体" w:eastAsia="黑体" w:cs="黑体"/>
          <w:sz w:val="32"/>
          <w:szCs w:val="32"/>
          <w:lang w:bidi="ar"/>
        </w:rPr>
        <w:t>附件3</w:t>
      </w:r>
      <w:r>
        <w:rPr>
          <w:rFonts w:ascii="黑体" w:hAnsi="黑体" w:eastAsia="黑体" w:cs="黑体"/>
          <w:sz w:val="32"/>
          <w:szCs w:val="32"/>
          <w:lang w:bidi="ar"/>
        </w:rPr>
        <w:t>：</w:t>
      </w:r>
    </w:p>
    <w:p>
      <w:pPr>
        <w:spacing w:line="560" w:lineRule="exact"/>
        <w:jc w:val="center"/>
        <w:rPr>
          <w:rFonts w:ascii="Times New Roman" w:hAnsi="Times New Roman" w:eastAsia="仿宋_GB2312" w:cs="仿宋_GB2312"/>
          <w:sz w:val="32"/>
          <w:szCs w:val="32"/>
          <w:lang w:bidi="ar"/>
        </w:rPr>
      </w:pPr>
      <w:r>
        <w:rPr>
          <w:rFonts w:hint="eastAsia" w:ascii="方正小标宋简体" w:hAnsi="Times New Roman" w:eastAsia="方正小标宋简体" w:cs="仿宋_GB2312"/>
          <w:sz w:val="44"/>
          <w:szCs w:val="44"/>
          <w:lang w:bidi="ar"/>
        </w:rPr>
        <w:t>物资说明可调整情况分类</w:t>
      </w:r>
    </w:p>
    <w:p>
      <w:pPr>
        <w:pStyle w:val="4"/>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19"/>
        <w:gridCol w:w="58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19" w:type="dxa"/>
            <w:vAlign w:val="bottom"/>
          </w:tcPr>
          <w:p>
            <w:pPr>
              <w:pStyle w:val="4"/>
              <w:jc w:val="center"/>
              <w:rPr>
                <w:lang w:bidi="ar"/>
              </w:rPr>
            </w:pPr>
            <w:r>
              <w:rPr>
                <w:rFonts w:hint="eastAsia"/>
                <w:lang w:bidi="ar"/>
              </w:rPr>
              <w:t>关联采购及移交记录情况</w:t>
            </w:r>
          </w:p>
        </w:tc>
        <w:tc>
          <w:tcPr>
            <w:tcW w:w="5862" w:type="dxa"/>
            <w:vAlign w:val="bottom"/>
          </w:tcPr>
          <w:p>
            <w:pPr>
              <w:pStyle w:val="4"/>
              <w:jc w:val="center"/>
              <w:rPr>
                <w:lang w:bidi="ar"/>
              </w:rPr>
            </w:pPr>
            <w:r>
              <w:rPr>
                <w:rFonts w:hint="eastAsia"/>
                <w:lang w:bidi="ar"/>
              </w:rPr>
              <w:t>物资说明变更情况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19" w:type="dxa"/>
            <w:vAlign w:val="center"/>
          </w:tcPr>
          <w:p>
            <w:pPr>
              <w:pStyle w:val="4"/>
              <w:jc w:val="center"/>
              <w:rPr>
                <w:lang w:bidi="ar"/>
              </w:rPr>
            </w:pPr>
            <w:r>
              <w:rPr>
                <w:rFonts w:hint="eastAsia"/>
                <w:szCs w:val="22"/>
              </w:rPr>
              <w:t>该编码未曾关联任何需求计划且无采购和移交记录；</w:t>
            </w:r>
          </w:p>
        </w:tc>
        <w:tc>
          <w:tcPr>
            <w:tcW w:w="5862" w:type="dxa"/>
            <w:vAlign w:val="center"/>
          </w:tcPr>
          <w:p>
            <w:pPr>
              <w:pStyle w:val="4"/>
              <w:jc w:val="center"/>
              <w:rPr>
                <w:lang w:bidi="ar"/>
              </w:rPr>
            </w:pPr>
            <w:r>
              <w:rPr>
                <w:lang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19" w:type="dxa"/>
            <w:vAlign w:val="center"/>
          </w:tcPr>
          <w:p>
            <w:pPr>
              <w:pStyle w:val="17"/>
              <w:widowControl w:val="0"/>
              <w:ind w:firstLine="0" w:firstLineChars="0"/>
              <w:jc w:val="center"/>
              <w:rPr>
                <w:lang w:bidi="ar"/>
              </w:rPr>
            </w:pPr>
            <w:r>
              <w:rPr>
                <w:rFonts w:hint="eastAsia"/>
                <w:szCs w:val="22"/>
              </w:rPr>
              <w:t>该编码关联有需求计划但无采购和移交记录；</w:t>
            </w:r>
          </w:p>
        </w:tc>
        <w:tc>
          <w:tcPr>
            <w:tcW w:w="5862" w:type="dxa"/>
            <w:vAlign w:val="center"/>
          </w:tcPr>
          <w:p>
            <w:pPr>
              <w:pStyle w:val="4"/>
              <w:jc w:val="center"/>
              <w:rPr>
                <w:lang w:bidi="ar"/>
              </w:rPr>
            </w:pPr>
            <w:r>
              <w:rPr>
                <w:lang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19" w:type="dxa"/>
            <w:vMerge w:val="restart"/>
            <w:vAlign w:val="center"/>
          </w:tcPr>
          <w:p>
            <w:pPr>
              <w:pStyle w:val="4"/>
              <w:jc w:val="center"/>
              <w:rPr>
                <w:lang w:bidi="ar"/>
              </w:rPr>
            </w:pPr>
            <w:r>
              <w:rPr>
                <w:rFonts w:hint="eastAsia"/>
                <w:lang w:bidi="ar"/>
              </w:rPr>
              <w:t>该编码关联有采购记录，且修订信息与历史采购实物信息一致。</w:t>
            </w:r>
          </w:p>
        </w:tc>
        <w:tc>
          <w:tcPr>
            <w:tcW w:w="5862" w:type="dxa"/>
          </w:tcPr>
          <w:p>
            <w:pPr>
              <w:pStyle w:val="17"/>
              <w:widowControl w:val="0"/>
              <w:numPr>
                <w:ilvl w:val="255"/>
                <w:numId w:val="0"/>
              </w:numPr>
              <w:rPr>
                <w:lang w:bidi="ar"/>
              </w:rPr>
            </w:pPr>
            <w:r>
              <w:rPr>
                <w:rFonts w:hint="eastAsia" w:hAnsi="宋体" w:cs="宋体"/>
                <w:szCs w:val="22"/>
              </w:rPr>
              <w:t>品牌、厂商：单一品牌类物资，如因营业执照公司名称变更、负责生产的分</w:t>
            </w:r>
            <w:r>
              <w:rPr>
                <w:rFonts w:hAnsi="宋体" w:cs="宋体"/>
                <w:szCs w:val="22"/>
              </w:rPr>
              <w:t>/子公司变更造成的品牌/厂商变更；集成商变更为生产厂商+集成商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19" w:type="dxa"/>
            <w:vMerge w:val="continue"/>
          </w:tcPr>
          <w:p>
            <w:pPr>
              <w:pStyle w:val="4"/>
              <w:rPr>
                <w:lang w:bidi="ar"/>
              </w:rPr>
            </w:pPr>
          </w:p>
        </w:tc>
        <w:tc>
          <w:tcPr>
            <w:tcW w:w="5862" w:type="dxa"/>
          </w:tcPr>
          <w:p>
            <w:pPr>
              <w:pStyle w:val="17"/>
              <w:widowControl w:val="0"/>
              <w:numPr>
                <w:ilvl w:val="255"/>
                <w:numId w:val="0"/>
              </w:numPr>
              <w:rPr>
                <w:rFonts w:hAnsi="宋体" w:cs="宋体"/>
                <w:szCs w:val="22"/>
              </w:rPr>
            </w:pPr>
            <w:r>
              <w:rPr>
                <w:rFonts w:hint="eastAsia" w:hAnsi="宋体" w:cs="宋体"/>
                <w:szCs w:val="22"/>
              </w:rPr>
              <w:t>型号：删除非关键性型号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19" w:type="dxa"/>
            <w:vMerge w:val="continue"/>
          </w:tcPr>
          <w:p>
            <w:pPr>
              <w:pStyle w:val="4"/>
              <w:rPr>
                <w:lang w:bidi="ar"/>
              </w:rPr>
            </w:pPr>
          </w:p>
        </w:tc>
        <w:tc>
          <w:tcPr>
            <w:tcW w:w="5862" w:type="dxa"/>
          </w:tcPr>
          <w:p>
            <w:pPr>
              <w:pStyle w:val="17"/>
              <w:widowControl w:val="0"/>
              <w:numPr>
                <w:ilvl w:val="255"/>
                <w:numId w:val="0"/>
              </w:numPr>
              <w:rPr>
                <w:rFonts w:hAnsi="宋体" w:cs="宋体"/>
                <w:szCs w:val="22"/>
              </w:rPr>
            </w:pPr>
            <w:r>
              <w:rPr>
                <w:rFonts w:hint="eastAsia" w:hAnsi="宋体" w:cs="宋体"/>
                <w:szCs w:val="22"/>
              </w:rPr>
              <w:t>技术参数：删除对物资无任何影响的非关键性参数；完善补充参数且符合历史合同所供物资；标准号版本更新（对应物资性能参数在新标准中要求无变化）；长、宽、高及精度细微变化对物资无实质影响情况下（对价格影响较小），对长、宽、高、精度等参数范围细微变更</w:t>
            </w:r>
          </w:p>
        </w:tc>
      </w:tr>
    </w:tbl>
    <w:p>
      <w:pPr>
        <w:pStyle w:val="4"/>
        <w:rPr>
          <w:b/>
          <w:bCs/>
          <w:lang w:bidi="ar"/>
        </w:rPr>
        <w:sectPr>
          <w:pgSz w:w="11906" w:h="16838"/>
          <w:pgMar w:top="2098" w:right="1474" w:bottom="1984" w:left="1587" w:header="851" w:footer="992" w:gutter="0"/>
          <w:pgNumType w:fmt="numberInDash" w:start="1"/>
          <w:cols w:space="0" w:num="1"/>
          <w:docGrid w:type="lines" w:linePitch="318" w:charSpace="0"/>
        </w:sectPr>
      </w:pPr>
    </w:p>
    <w:p>
      <w:pPr>
        <w:spacing w:line="560" w:lineRule="exact"/>
        <w:outlineLvl w:val="0"/>
        <w:rPr>
          <w:rFonts w:ascii="黑体" w:hAnsi="黑体" w:eastAsia="黑体" w:cs="黑体"/>
          <w:sz w:val="32"/>
          <w:szCs w:val="32"/>
          <w:lang w:bidi="ar"/>
        </w:rPr>
      </w:pPr>
      <w:r>
        <w:rPr>
          <w:rFonts w:hint="eastAsia" w:ascii="黑体" w:hAnsi="黑体" w:eastAsia="黑体" w:cs="黑体"/>
          <w:sz w:val="32"/>
          <w:szCs w:val="32"/>
          <w:lang w:bidi="ar"/>
        </w:rPr>
        <w:t>附件4</w:t>
      </w:r>
      <w:r>
        <w:rPr>
          <w:rFonts w:ascii="黑体" w:hAnsi="黑体" w:eastAsia="黑体" w:cs="黑体"/>
          <w:sz w:val="32"/>
          <w:szCs w:val="32"/>
          <w:lang w:bidi="ar"/>
        </w:rPr>
        <w:t>：</w:t>
      </w:r>
    </w:p>
    <w:p>
      <w:pPr>
        <w:spacing w:line="560" w:lineRule="exact"/>
        <w:jc w:val="center"/>
        <w:outlineLvl w:val="0"/>
        <w:rPr>
          <w:rFonts w:ascii="Times New Roman" w:hAnsi="Times New Roman" w:eastAsia="仿宋_GB2312" w:cs="仿宋_GB2312"/>
          <w:sz w:val="32"/>
          <w:szCs w:val="32"/>
          <w:lang w:bidi="ar"/>
        </w:rPr>
      </w:pPr>
      <w:r>
        <w:rPr>
          <w:rFonts w:hint="eastAsia" w:ascii="方正小标宋简体" w:hAnsi="Times New Roman" w:eastAsia="方正小标宋简体" w:cs="仿宋_GB2312"/>
          <w:sz w:val="44"/>
          <w:szCs w:val="44"/>
          <w:lang w:bidi="ar"/>
        </w:rPr>
        <w:t>物资编码修订申请表</w:t>
      </w:r>
    </w:p>
    <w:p>
      <w:pPr>
        <w:spacing w:line="560" w:lineRule="exact"/>
        <w:jc w:val="center"/>
        <w:rPr>
          <w:rFonts w:ascii="Times New Roman" w:hAnsi="Times New Roman" w:eastAsia="仿宋_GB2312" w:cs="仿宋_GB2312"/>
          <w:sz w:val="32"/>
          <w:szCs w:val="32"/>
          <w:lang w:bidi="ar"/>
        </w:rPr>
      </w:pPr>
    </w:p>
    <w:tbl>
      <w:tblPr>
        <w:tblStyle w:val="10"/>
        <w:tblW w:w="499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8"/>
        <w:gridCol w:w="1266"/>
        <w:gridCol w:w="1686"/>
        <w:gridCol w:w="1266"/>
        <w:gridCol w:w="1056"/>
        <w:gridCol w:w="768"/>
        <w:gridCol w:w="769"/>
        <w:gridCol w:w="769"/>
        <w:gridCol w:w="769"/>
        <w:gridCol w:w="769"/>
        <w:gridCol w:w="769"/>
        <w:gridCol w:w="769"/>
        <w:gridCol w:w="769"/>
        <w:gridCol w:w="7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357" w:type="pct"/>
            <w:shd w:val="clear" w:color="auto" w:fill="auto"/>
            <w:noWrap/>
            <w:vAlign w:val="center"/>
          </w:tcPr>
          <w:p>
            <w:pPr>
              <w:widowControl/>
              <w:jc w:val="center"/>
              <w:textAlignment w:val="center"/>
              <w:rPr>
                <w:rFonts w:asciiTheme="minorEastAsia" w:hAnsiTheme="minorEastAsia" w:cstheme="minorEastAsia"/>
                <w:szCs w:val="21"/>
              </w:rPr>
            </w:pPr>
            <w:r>
              <w:rPr>
                <w:rFonts w:hint="eastAsia" w:asciiTheme="minorEastAsia" w:hAnsiTheme="minorEastAsia" w:cstheme="minorEastAsia"/>
                <w:kern w:val="0"/>
                <w:szCs w:val="21"/>
                <w:lang w:bidi="ar"/>
              </w:rPr>
              <w:t>序号</w:t>
            </w:r>
          </w:p>
        </w:tc>
        <w:tc>
          <w:tcPr>
            <w:tcW w:w="357" w:type="pct"/>
            <w:shd w:val="clear" w:color="auto" w:fill="auto"/>
            <w:noWrap/>
            <w:vAlign w:val="center"/>
          </w:tcPr>
          <w:p>
            <w:pPr>
              <w:widowControl/>
              <w:jc w:val="center"/>
              <w:textAlignment w:val="center"/>
              <w:rPr>
                <w:rFonts w:asciiTheme="minorEastAsia" w:hAnsiTheme="minorEastAsia" w:cstheme="minorEastAsia"/>
                <w:szCs w:val="21"/>
              </w:rPr>
            </w:pPr>
            <w:r>
              <w:rPr>
                <w:rFonts w:hint="eastAsia" w:asciiTheme="minorEastAsia" w:hAnsiTheme="minorEastAsia" w:cstheme="minorEastAsia"/>
                <w:kern w:val="0"/>
                <w:szCs w:val="21"/>
                <w:lang w:bidi="ar"/>
              </w:rPr>
              <w:t>原资产类别</w:t>
            </w:r>
          </w:p>
        </w:tc>
        <w:tc>
          <w:tcPr>
            <w:tcW w:w="357" w:type="pct"/>
            <w:shd w:val="clear" w:color="auto" w:fill="auto"/>
            <w:noWrap/>
            <w:vAlign w:val="center"/>
          </w:tcPr>
          <w:p>
            <w:pPr>
              <w:widowControl/>
              <w:jc w:val="center"/>
              <w:textAlignment w:val="center"/>
              <w:rPr>
                <w:rFonts w:asciiTheme="minorEastAsia" w:hAnsiTheme="minorEastAsia" w:cstheme="minorEastAsia"/>
                <w:szCs w:val="21"/>
              </w:rPr>
            </w:pPr>
            <w:r>
              <w:rPr>
                <w:rFonts w:hint="eastAsia" w:asciiTheme="minorEastAsia" w:hAnsiTheme="minorEastAsia" w:cstheme="minorEastAsia"/>
                <w:kern w:val="0"/>
                <w:szCs w:val="21"/>
                <w:lang w:bidi="ar"/>
              </w:rPr>
              <w:t>原资产类别说明</w:t>
            </w:r>
          </w:p>
        </w:tc>
        <w:tc>
          <w:tcPr>
            <w:tcW w:w="357" w:type="pct"/>
            <w:shd w:val="clear" w:color="auto" w:fill="auto"/>
            <w:noWrap/>
            <w:vAlign w:val="center"/>
          </w:tcPr>
          <w:p>
            <w:pPr>
              <w:widowControl/>
              <w:jc w:val="center"/>
              <w:textAlignment w:val="center"/>
              <w:rPr>
                <w:rFonts w:asciiTheme="minorEastAsia" w:hAnsiTheme="minorEastAsia" w:cstheme="minorEastAsia"/>
                <w:szCs w:val="21"/>
              </w:rPr>
            </w:pPr>
            <w:r>
              <w:rPr>
                <w:rFonts w:hint="eastAsia" w:asciiTheme="minorEastAsia" w:hAnsiTheme="minorEastAsia" w:cstheme="minorEastAsia"/>
                <w:kern w:val="0"/>
                <w:szCs w:val="21"/>
                <w:lang w:bidi="ar"/>
              </w:rPr>
              <w:t>原资产标识</w:t>
            </w:r>
          </w:p>
        </w:tc>
        <w:tc>
          <w:tcPr>
            <w:tcW w:w="357" w:type="pct"/>
            <w:shd w:val="clear" w:color="auto" w:fill="auto"/>
            <w:noWrap/>
            <w:vAlign w:val="center"/>
          </w:tcPr>
          <w:p>
            <w:pPr>
              <w:widowControl/>
              <w:jc w:val="center"/>
              <w:textAlignment w:val="center"/>
              <w:rPr>
                <w:rFonts w:asciiTheme="minorEastAsia" w:hAnsiTheme="minorEastAsia" w:cstheme="minorEastAsia"/>
                <w:szCs w:val="21"/>
              </w:rPr>
            </w:pPr>
            <w:r>
              <w:rPr>
                <w:rFonts w:hint="eastAsia" w:asciiTheme="minorEastAsia" w:hAnsiTheme="minorEastAsia" w:cstheme="minorEastAsia"/>
                <w:kern w:val="0"/>
                <w:szCs w:val="21"/>
                <w:lang w:bidi="ar"/>
              </w:rPr>
              <w:t>物资编码</w:t>
            </w:r>
          </w:p>
        </w:tc>
        <w:tc>
          <w:tcPr>
            <w:tcW w:w="357" w:type="pct"/>
            <w:shd w:val="clear" w:color="auto" w:fill="auto"/>
            <w:vAlign w:val="center"/>
          </w:tcPr>
          <w:p>
            <w:pPr>
              <w:widowControl/>
              <w:jc w:val="center"/>
              <w:textAlignment w:val="center"/>
              <w:rPr>
                <w:rFonts w:asciiTheme="minorEastAsia" w:hAnsiTheme="minorEastAsia" w:cstheme="minorEastAsia"/>
                <w:szCs w:val="21"/>
              </w:rPr>
            </w:pPr>
            <w:r>
              <w:rPr>
                <w:rFonts w:hint="eastAsia" w:asciiTheme="minorEastAsia" w:hAnsiTheme="minorEastAsia" w:cstheme="minorEastAsia"/>
                <w:kern w:val="0"/>
                <w:szCs w:val="21"/>
                <w:lang w:bidi="ar"/>
              </w:rPr>
              <w:t>原物资说明</w:t>
            </w:r>
          </w:p>
        </w:tc>
        <w:tc>
          <w:tcPr>
            <w:tcW w:w="357" w:type="pct"/>
            <w:shd w:val="clear" w:color="auto" w:fill="auto"/>
            <w:vAlign w:val="center"/>
          </w:tcPr>
          <w:p>
            <w:pPr>
              <w:widowControl/>
              <w:jc w:val="center"/>
              <w:textAlignment w:val="center"/>
              <w:rPr>
                <w:rFonts w:asciiTheme="minorEastAsia" w:hAnsiTheme="minorEastAsia" w:cstheme="minorEastAsia"/>
                <w:szCs w:val="21"/>
              </w:rPr>
            </w:pPr>
            <w:r>
              <w:rPr>
                <w:rFonts w:hint="eastAsia" w:asciiTheme="minorEastAsia" w:hAnsiTheme="minorEastAsia" w:cstheme="minorEastAsia"/>
                <w:kern w:val="0"/>
                <w:szCs w:val="21"/>
                <w:lang w:bidi="ar"/>
              </w:rPr>
              <w:t>原预算</w:t>
            </w:r>
            <w:r>
              <w:rPr>
                <w:rFonts w:hint="eastAsia" w:asciiTheme="minorEastAsia" w:hAnsiTheme="minorEastAsia" w:cstheme="minorEastAsia"/>
                <w:kern w:val="0"/>
                <w:szCs w:val="21"/>
                <w:lang w:bidi="ar"/>
              </w:rPr>
              <w:br w:type="textWrapping"/>
            </w:r>
            <w:r>
              <w:rPr>
                <w:rFonts w:hint="eastAsia" w:asciiTheme="minorEastAsia" w:hAnsiTheme="minorEastAsia" w:cstheme="minorEastAsia"/>
                <w:kern w:val="0"/>
                <w:szCs w:val="21"/>
                <w:lang w:bidi="ar"/>
              </w:rPr>
              <w:t>指导价</w:t>
            </w:r>
          </w:p>
        </w:tc>
        <w:tc>
          <w:tcPr>
            <w:tcW w:w="357" w:type="pct"/>
            <w:shd w:val="clear" w:color="auto" w:fill="auto"/>
            <w:vAlign w:val="center"/>
          </w:tcPr>
          <w:p>
            <w:pPr>
              <w:widowControl/>
              <w:jc w:val="center"/>
              <w:textAlignment w:val="center"/>
              <w:rPr>
                <w:rFonts w:asciiTheme="minorEastAsia" w:hAnsiTheme="minorEastAsia" w:cstheme="minorEastAsia"/>
                <w:szCs w:val="21"/>
              </w:rPr>
            </w:pPr>
            <w:r>
              <w:rPr>
                <w:rFonts w:hint="eastAsia" w:asciiTheme="minorEastAsia" w:hAnsiTheme="minorEastAsia" w:cstheme="minorEastAsia"/>
                <w:kern w:val="0"/>
                <w:szCs w:val="21"/>
                <w:lang w:bidi="ar"/>
              </w:rPr>
              <w:t>原编码状态</w:t>
            </w:r>
          </w:p>
        </w:tc>
        <w:tc>
          <w:tcPr>
            <w:tcW w:w="357" w:type="pct"/>
            <w:shd w:val="clear" w:color="auto" w:fill="auto"/>
            <w:noWrap/>
            <w:vAlign w:val="center"/>
          </w:tcPr>
          <w:p>
            <w:pPr>
              <w:widowControl/>
              <w:jc w:val="center"/>
              <w:textAlignment w:val="center"/>
              <w:rPr>
                <w:rFonts w:asciiTheme="minorEastAsia" w:hAnsiTheme="minorEastAsia" w:cstheme="minorEastAsia"/>
                <w:szCs w:val="21"/>
              </w:rPr>
            </w:pPr>
            <w:r>
              <w:rPr>
                <w:rFonts w:hint="eastAsia" w:asciiTheme="minorEastAsia" w:hAnsiTheme="minorEastAsia" w:cstheme="minorEastAsia"/>
                <w:kern w:val="0"/>
                <w:szCs w:val="21"/>
                <w:lang w:bidi="ar"/>
              </w:rPr>
              <w:t>单位</w:t>
            </w:r>
          </w:p>
        </w:tc>
        <w:tc>
          <w:tcPr>
            <w:tcW w:w="357" w:type="pct"/>
            <w:shd w:val="clear" w:color="auto" w:fill="auto"/>
            <w:vAlign w:val="center"/>
          </w:tcPr>
          <w:p>
            <w:pPr>
              <w:widowControl/>
              <w:jc w:val="center"/>
              <w:textAlignment w:val="center"/>
              <w:rPr>
                <w:rFonts w:asciiTheme="minorEastAsia" w:hAnsiTheme="minorEastAsia" w:cstheme="minorEastAsia"/>
                <w:szCs w:val="21"/>
              </w:rPr>
            </w:pPr>
            <w:r>
              <w:rPr>
                <w:rFonts w:hint="eastAsia" w:asciiTheme="minorEastAsia" w:hAnsiTheme="minorEastAsia" w:cstheme="minorEastAsia"/>
                <w:kern w:val="0"/>
                <w:szCs w:val="21"/>
                <w:lang w:bidi="ar"/>
              </w:rPr>
              <w:t>修订后资产类别2</w:t>
            </w:r>
          </w:p>
        </w:tc>
        <w:tc>
          <w:tcPr>
            <w:tcW w:w="357" w:type="pct"/>
            <w:shd w:val="clear" w:color="auto" w:fill="auto"/>
            <w:vAlign w:val="center"/>
          </w:tcPr>
          <w:p>
            <w:pPr>
              <w:widowControl/>
              <w:jc w:val="center"/>
              <w:textAlignment w:val="center"/>
              <w:rPr>
                <w:rFonts w:asciiTheme="minorEastAsia" w:hAnsiTheme="minorEastAsia" w:cstheme="minorEastAsia"/>
                <w:szCs w:val="21"/>
              </w:rPr>
            </w:pPr>
            <w:r>
              <w:rPr>
                <w:rFonts w:hint="eastAsia" w:asciiTheme="minorEastAsia" w:hAnsiTheme="minorEastAsia" w:cstheme="minorEastAsia"/>
                <w:kern w:val="0"/>
                <w:szCs w:val="21"/>
                <w:lang w:bidi="ar"/>
              </w:rPr>
              <w:t>修订后资产类别说明2</w:t>
            </w:r>
          </w:p>
        </w:tc>
        <w:tc>
          <w:tcPr>
            <w:tcW w:w="357" w:type="pct"/>
            <w:shd w:val="clear" w:color="auto" w:fill="auto"/>
            <w:vAlign w:val="center"/>
          </w:tcPr>
          <w:p>
            <w:pPr>
              <w:widowControl/>
              <w:jc w:val="center"/>
              <w:textAlignment w:val="center"/>
              <w:rPr>
                <w:rFonts w:asciiTheme="minorEastAsia" w:hAnsiTheme="minorEastAsia" w:cstheme="minorEastAsia"/>
                <w:szCs w:val="21"/>
              </w:rPr>
            </w:pPr>
            <w:r>
              <w:rPr>
                <w:rFonts w:hint="eastAsia" w:asciiTheme="minorEastAsia" w:hAnsiTheme="minorEastAsia" w:cstheme="minorEastAsia"/>
                <w:kern w:val="0"/>
                <w:szCs w:val="21"/>
                <w:lang w:bidi="ar"/>
              </w:rPr>
              <w:t>修订后物资说明</w:t>
            </w:r>
          </w:p>
        </w:tc>
        <w:tc>
          <w:tcPr>
            <w:tcW w:w="357" w:type="pct"/>
            <w:shd w:val="clear" w:color="auto" w:fill="auto"/>
            <w:vAlign w:val="center"/>
          </w:tcPr>
          <w:p>
            <w:pPr>
              <w:widowControl/>
              <w:jc w:val="center"/>
              <w:textAlignment w:val="center"/>
              <w:rPr>
                <w:rFonts w:asciiTheme="minorEastAsia" w:hAnsiTheme="minorEastAsia" w:cstheme="minorEastAsia"/>
                <w:szCs w:val="21"/>
              </w:rPr>
            </w:pPr>
            <w:r>
              <w:rPr>
                <w:rFonts w:hint="eastAsia" w:asciiTheme="minorEastAsia" w:hAnsiTheme="minorEastAsia" w:cstheme="minorEastAsia"/>
                <w:kern w:val="0"/>
                <w:szCs w:val="21"/>
                <w:lang w:bidi="ar"/>
              </w:rPr>
              <w:t>修订后预算</w:t>
            </w:r>
            <w:r>
              <w:rPr>
                <w:rFonts w:hint="eastAsia" w:asciiTheme="minorEastAsia" w:hAnsiTheme="minorEastAsia" w:cstheme="minorEastAsia"/>
                <w:kern w:val="0"/>
                <w:szCs w:val="21"/>
                <w:lang w:bidi="ar"/>
              </w:rPr>
              <w:br w:type="textWrapping"/>
            </w:r>
            <w:r>
              <w:rPr>
                <w:rFonts w:hint="eastAsia" w:asciiTheme="minorEastAsia" w:hAnsiTheme="minorEastAsia" w:cstheme="minorEastAsia"/>
                <w:kern w:val="0"/>
                <w:szCs w:val="21"/>
                <w:lang w:bidi="ar"/>
              </w:rPr>
              <w:t>指导价</w:t>
            </w:r>
          </w:p>
        </w:tc>
        <w:tc>
          <w:tcPr>
            <w:tcW w:w="357" w:type="pct"/>
            <w:shd w:val="clear" w:color="auto" w:fill="auto"/>
            <w:vAlign w:val="center"/>
          </w:tcPr>
          <w:p>
            <w:pPr>
              <w:widowControl/>
              <w:jc w:val="center"/>
              <w:textAlignment w:val="center"/>
              <w:rPr>
                <w:rFonts w:asciiTheme="minorEastAsia" w:hAnsiTheme="minorEastAsia" w:cstheme="minorEastAsia"/>
                <w:szCs w:val="21"/>
              </w:rPr>
            </w:pPr>
            <w:r>
              <w:rPr>
                <w:rFonts w:hint="eastAsia" w:asciiTheme="minorEastAsia" w:hAnsiTheme="minorEastAsia" w:cstheme="minorEastAsia"/>
                <w:kern w:val="0"/>
                <w:szCs w:val="21"/>
                <w:lang w:bidi="ar"/>
              </w:rPr>
              <w:t>修订原因及备注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357" w:type="pct"/>
            <w:shd w:val="clear" w:color="auto" w:fill="auto"/>
            <w:vAlign w:val="center"/>
          </w:tcPr>
          <w:p>
            <w:pPr>
              <w:widowControl/>
              <w:jc w:val="center"/>
              <w:textAlignment w:val="center"/>
              <w:rPr>
                <w:rFonts w:ascii="宋体" w:hAnsi="宋体" w:eastAsia="宋体" w:cs="宋体"/>
                <w:sz w:val="18"/>
                <w:szCs w:val="18"/>
              </w:rPr>
            </w:pPr>
          </w:p>
        </w:tc>
        <w:tc>
          <w:tcPr>
            <w:tcW w:w="357" w:type="pct"/>
            <w:shd w:val="clear" w:color="auto" w:fill="auto"/>
            <w:vAlign w:val="center"/>
          </w:tcPr>
          <w:p>
            <w:pPr>
              <w:jc w:val="center"/>
              <w:rPr>
                <w:rFonts w:ascii="宋体" w:hAnsi="宋体" w:eastAsia="宋体" w:cs="宋体"/>
                <w:sz w:val="18"/>
                <w:szCs w:val="18"/>
              </w:rPr>
            </w:pPr>
          </w:p>
        </w:tc>
        <w:tc>
          <w:tcPr>
            <w:tcW w:w="357" w:type="pct"/>
            <w:shd w:val="clear" w:color="auto" w:fill="auto"/>
            <w:vAlign w:val="center"/>
          </w:tcPr>
          <w:p>
            <w:pPr>
              <w:jc w:val="center"/>
              <w:rPr>
                <w:rFonts w:ascii="宋体" w:hAnsi="宋体" w:eastAsia="宋体" w:cs="宋体"/>
                <w:sz w:val="18"/>
                <w:szCs w:val="18"/>
              </w:rPr>
            </w:pPr>
          </w:p>
        </w:tc>
        <w:tc>
          <w:tcPr>
            <w:tcW w:w="357" w:type="pct"/>
            <w:shd w:val="clear" w:color="auto" w:fill="auto"/>
            <w:vAlign w:val="center"/>
          </w:tcPr>
          <w:p>
            <w:pPr>
              <w:jc w:val="center"/>
              <w:rPr>
                <w:rFonts w:ascii="宋体" w:hAnsi="宋体" w:eastAsia="宋体" w:cs="宋体"/>
                <w:sz w:val="18"/>
                <w:szCs w:val="18"/>
              </w:rPr>
            </w:pPr>
          </w:p>
        </w:tc>
        <w:tc>
          <w:tcPr>
            <w:tcW w:w="357" w:type="pct"/>
            <w:shd w:val="clear" w:color="auto" w:fill="auto"/>
            <w:vAlign w:val="center"/>
          </w:tcPr>
          <w:p>
            <w:pPr>
              <w:jc w:val="center"/>
              <w:rPr>
                <w:rFonts w:ascii="宋体" w:hAnsi="宋体" w:eastAsia="宋体" w:cs="宋体"/>
                <w:sz w:val="18"/>
                <w:szCs w:val="18"/>
              </w:rPr>
            </w:pPr>
          </w:p>
        </w:tc>
        <w:tc>
          <w:tcPr>
            <w:tcW w:w="357" w:type="pct"/>
            <w:shd w:val="clear" w:color="auto" w:fill="auto"/>
            <w:vAlign w:val="center"/>
          </w:tcPr>
          <w:p>
            <w:pPr>
              <w:jc w:val="center"/>
              <w:rPr>
                <w:rFonts w:ascii="宋体" w:hAnsi="宋体" w:eastAsia="宋体" w:cs="宋体"/>
                <w:sz w:val="18"/>
                <w:szCs w:val="18"/>
              </w:rPr>
            </w:pPr>
          </w:p>
        </w:tc>
        <w:tc>
          <w:tcPr>
            <w:tcW w:w="357" w:type="pct"/>
            <w:shd w:val="clear" w:color="auto" w:fill="auto"/>
            <w:vAlign w:val="center"/>
          </w:tcPr>
          <w:p>
            <w:pPr>
              <w:jc w:val="center"/>
              <w:rPr>
                <w:rFonts w:ascii="宋体" w:hAnsi="宋体" w:eastAsia="宋体" w:cs="宋体"/>
                <w:sz w:val="18"/>
                <w:szCs w:val="18"/>
              </w:rPr>
            </w:pPr>
          </w:p>
        </w:tc>
        <w:tc>
          <w:tcPr>
            <w:tcW w:w="357" w:type="pct"/>
            <w:shd w:val="clear" w:color="auto" w:fill="auto"/>
            <w:vAlign w:val="center"/>
          </w:tcPr>
          <w:p>
            <w:pPr>
              <w:jc w:val="center"/>
              <w:rPr>
                <w:rFonts w:ascii="宋体" w:hAnsi="宋体" w:eastAsia="宋体" w:cs="宋体"/>
                <w:sz w:val="18"/>
                <w:szCs w:val="18"/>
              </w:rPr>
            </w:pPr>
          </w:p>
        </w:tc>
        <w:tc>
          <w:tcPr>
            <w:tcW w:w="357" w:type="pct"/>
            <w:shd w:val="clear" w:color="auto" w:fill="auto"/>
            <w:vAlign w:val="center"/>
          </w:tcPr>
          <w:p>
            <w:pPr>
              <w:jc w:val="center"/>
              <w:rPr>
                <w:rFonts w:ascii="宋体" w:hAnsi="宋体" w:eastAsia="宋体" w:cs="宋体"/>
                <w:sz w:val="18"/>
                <w:szCs w:val="18"/>
              </w:rPr>
            </w:pPr>
          </w:p>
        </w:tc>
        <w:tc>
          <w:tcPr>
            <w:tcW w:w="357" w:type="pct"/>
            <w:shd w:val="clear" w:color="auto" w:fill="auto"/>
            <w:vAlign w:val="center"/>
          </w:tcPr>
          <w:p>
            <w:pPr>
              <w:jc w:val="center"/>
              <w:rPr>
                <w:rFonts w:ascii="宋体" w:hAnsi="宋体" w:eastAsia="宋体" w:cs="宋体"/>
                <w:sz w:val="18"/>
                <w:szCs w:val="18"/>
              </w:rPr>
            </w:pPr>
          </w:p>
        </w:tc>
        <w:tc>
          <w:tcPr>
            <w:tcW w:w="357" w:type="pct"/>
            <w:shd w:val="clear" w:color="auto" w:fill="auto"/>
            <w:vAlign w:val="center"/>
          </w:tcPr>
          <w:p>
            <w:pPr>
              <w:jc w:val="center"/>
              <w:rPr>
                <w:rFonts w:ascii="宋体" w:hAnsi="宋体" w:eastAsia="宋体" w:cs="宋体"/>
                <w:sz w:val="18"/>
                <w:szCs w:val="18"/>
              </w:rPr>
            </w:pPr>
          </w:p>
        </w:tc>
        <w:tc>
          <w:tcPr>
            <w:tcW w:w="357" w:type="pct"/>
            <w:shd w:val="clear" w:color="auto" w:fill="auto"/>
            <w:vAlign w:val="center"/>
          </w:tcPr>
          <w:p>
            <w:pPr>
              <w:jc w:val="center"/>
              <w:rPr>
                <w:rFonts w:ascii="宋体" w:hAnsi="宋体" w:eastAsia="宋体" w:cs="宋体"/>
                <w:sz w:val="18"/>
                <w:szCs w:val="18"/>
              </w:rPr>
            </w:pPr>
          </w:p>
        </w:tc>
        <w:tc>
          <w:tcPr>
            <w:tcW w:w="357" w:type="pct"/>
            <w:shd w:val="clear" w:color="auto" w:fill="auto"/>
            <w:vAlign w:val="center"/>
          </w:tcPr>
          <w:p>
            <w:pPr>
              <w:jc w:val="center"/>
              <w:rPr>
                <w:rFonts w:ascii="宋体" w:hAnsi="宋体" w:eastAsia="宋体" w:cs="宋体"/>
                <w:sz w:val="18"/>
                <w:szCs w:val="18"/>
              </w:rPr>
            </w:pPr>
          </w:p>
        </w:tc>
        <w:tc>
          <w:tcPr>
            <w:tcW w:w="357" w:type="pct"/>
            <w:shd w:val="clear" w:color="auto" w:fill="auto"/>
            <w:vAlign w:val="center"/>
          </w:tcPr>
          <w:p>
            <w:pPr>
              <w:jc w:val="center"/>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357" w:type="pct"/>
            <w:shd w:val="clear" w:color="auto" w:fill="auto"/>
            <w:vAlign w:val="center"/>
          </w:tcPr>
          <w:p>
            <w:pPr>
              <w:widowControl/>
              <w:jc w:val="center"/>
              <w:textAlignment w:val="center"/>
              <w:rPr>
                <w:rFonts w:ascii="宋体" w:hAnsi="宋体" w:eastAsia="宋体" w:cs="宋体"/>
                <w:kern w:val="0"/>
                <w:sz w:val="18"/>
                <w:szCs w:val="18"/>
                <w:lang w:bidi="ar"/>
              </w:rPr>
            </w:pPr>
          </w:p>
        </w:tc>
        <w:tc>
          <w:tcPr>
            <w:tcW w:w="357" w:type="pct"/>
            <w:shd w:val="clear" w:color="auto" w:fill="auto"/>
            <w:vAlign w:val="center"/>
          </w:tcPr>
          <w:p>
            <w:pPr>
              <w:jc w:val="center"/>
              <w:rPr>
                <w:rFonts w:ascii="宋体" w:hAnsi="宋体" w:eastAsia="宋体" w:cs="宋体"/>
                <w:sz w:val="18"/>
                <w:szCs w:val="18"/>
              </w:rPr>
            </w:pPr>
          </w:p>
        </w:tc>
        <w:tc>
          <w:tcPr>
            <w:tcW w:w="357" w:type="pct"/>
            <w:shd w:val="clear" w:color="auto" w:fill="auto"/>
            <w:vAlign w:val="center"/>
          </w:tcPr>
          <w:p>
            <w:pPr>
              <w:jc w:val="center"/>
              <w:rPr>
                <w:rFonts w:ascii="宋体" w:hAnsi="宋体" w:eastAsia="宋体" w:cs="宋体"/>
                <w:sz w:val="18"/>
                <w:szCs w:val="18"/>
              </w:rPr>
            </w:pPr>
          </w:p>
        </w:tc>
        <w:tc>
          <w:tcPr>
            <w:tcW w:w="357" w:type="pct"/>
            <w:shd w:val="clear" w:color="auto" w:fill="auto"/>
            <w:vAlign w:val="center"/>
          </w:tcPr>
          <w:p>
            <w:pPr>
              <w:jc w:val="center"/>
              <w:rPr>
                <w:rFonts w:ascii="宋体" w:hAnsi="宋体" w:eastAsia="宋体" w:cs="宋体"/>
                <w:sz w:val="18"/>
                <w:szCs w:val="18"/>
              </w:rPr>
            </w:pPr>
          </w:p>
        </w:tc>
        <w:tc>
          <w:tcPr>
            <w:tcW w:w="357" w:type="pct"/>
            <w:shd w:val="clear" w:color="auto" w:fill="auto"/>
            <w:vAlign w:val="center"/>
          </w:tcPr>
          <w:p>
            <w:pPr>
              <w:jc w:val="center"/>
              <w:rPr>
                <w:rFonts w:ascii="宋体" w:hAnsi="宋体" w:eastAsia="宋体" w:cs="宋体"/>
                <w:sz w:val="18"/>
                <w:szCs w:val="18"/>
              </w:rPr>
            </w:pPr>
          </w:p>
        </w:tc>
        <w:tc>
          <w:tcPr>
            <w:tcW w:w="357" w:type="pct"/>
            <w:shd w:val="clear" w:color="auto" w:fill="auto"/>
            <w:vAlign w:val="center"/>
          </w:tcPr>
          <w:p>
            <w:pPr>
              <w:jc w:val="center"/>
              <w:rPr>
                <w:rFonts w:ascii="宋体" w:hAnsi="宋体" w:eastAsia="宋体" w:cs="宋体"/>
                <w:sz w:val="18"/>
                <w:szCs w:val="18"/>
              </w:rPr>
            </w:pPr>
          </w:p>
        </w:tc>
        <w:tc>
          <w:tcPr>
            <w:tcW w:w="357" w:type="pct"/>
            <w:shd w:val="clear" w:color="auto" w:fill="auto"/>
            <w:vAlign w:val="center"/>
          </w:tcPr>
          <w:p>
            <w:pPr>
              <w:jc w:val="center"/>
              <w:rPr>
                <w:rFonts w:ascii="宋体" w:hAnsi="宋体" w:eastAsia="宋体" w:cs="宋体"/>
                <w:sz w:val="18"/>
                <w:szCs w:val="18"/>
              </w:rPr>
            </w:pPr>
          </w:p>
        </w:tc>
        <w:tc>
          <w:tcPr>
            <w:tcW w:w="357" w:type="pct"/>
            <w:shd w:val="clear" w:color="auto" w:fill="auto"/>
            <w:vAlign w:val="center"/>
          </w:tcPr>
          <w:p>
            <w:pPr>
              <w:jc w:val="center"/>
              <w:rPr>
                <w:rFonts w:ascii="宋体" w:hAnsi="宋体" w:eastAsia="宋体" w:cs="宋体"/>
                <w:sz w:val="18"/>
                <w:szCs w:val="18"/>
              </w:rPr>
            </w:pPr>
          </w:p>
        </w:tc>
        <w:tc>
          <w:tcPr>
            <w:tcW w:w="357" w:type="pct"/>
            <w:shd w:val="clear" w:color="auto" w:fill="auto"/>
            <w:vAlign w:val="center"/>
          </w:tcPr>
          <w:p>
            <w:pPr>
              <w:jc w:val="center"/>
              <w:rPr>
                <w:rFonts w:ascii="宋体" w:hAnsi="宋体" w:eastAsia="宋体" w:cs="宋体"/>
                <w:sz w:val="18"/>
                <w:szCs w:val="18"/>
              </w:rPr>
            </w:pPr>
          </w:p>
        </w:tc>
        <w:tc>
          <w:tcPr>
            <w:tcW w:w="357" w:type="pct"/>
            <w:shd w:val="clear" w:color="auto" w:fill="auto"/>
            <w:vAlign w:val="center"/>
          </w:tcPr>
          <w:p>
            <w:pPr>
              <w:jc w:val="center"/>
              <w:rPr>
                <w:rFonts w:ascii="宋体" w:hAnsi="宋体" w:eastAsia="宋体" w:cs="宋体"/>
                <w:sz w:val="18"/>
                <w:szCs w:val="18"/>
              </w:rPr>
            </w:pPr>
          </w:p>
        </w:tc>
        <w:tc>
          <w:tcPr>
            <w:tcW w:w="357" w:type="pct"/>
            <w:shd w:val="clear" w:color="auto" w:fill="auto"/>
            <w:vAlign w:val="center"/>
          </w:tcPr>
          <w:p>
            <w:pPr>
              <w:jc w:val="center"/>
              <w:rPr>
                <w:rFonts w:ascii="宋体" w:hAnsi="宋体" w:eastAsia="宋体" w:cs="宋体"/>
                <w:sz w:val="18"/>
                <w:szCs w:val="18"/>
              </w:rPr>
            </w:pPr>
          </w:p>
        </w:tc>
        <w:tc>
          <w:tcPr>
            <w:tcW w:w="357" w:type="pct"/>
            <w:shd w:val="clear" w:color="auto" w:fill="auto"/>
            <w:vAlign w:val="center"/>
          </w:tcPr>
          <w:p>
            <w:pPr>
              <w:jc w:val="center"/>
              <w:rPr>
                <w:rFonts w:ascii="宋体" w:hAnsi="宋体" w:eastAsia="宋体" w:cs="宋体"/>
                <w:sz w:val="18"/>
                <w:szCs w:val="18"/>
              </w:rPr>
            </w:pPr>
          </w:p>
        </w:tc>
        <w:tc>
          <w:tcPr>
            <w:tcW w:w="357" w:type="pct"/>
            <w:shd w:val="clear" w:color="auto" w:fill="auto"/>
            <w:vAlign w:val="center"/>
          </w:tcPr>
          <w:p>
            <w:pPr>
              <w:jc w:val="center"/>
              <w:rPr>
                <w:rFonts w:ascii="宋体" w:hAnsi="宋体" w:eastAsia="宋体" w:cs="宋体"/>
                <w:sz w:val="18"/>
                <w:szCs w:val="18"/>
              </w:rPr>
            </w:pPr>
          </w:p>
        </w:tc>
        <w:tc>
          <w:tcPr>
            <w:tcW w:w="357" w:type="pct"/>
            <w:shd w:val="clear" w:color="auto" w:fill="auto"/>
            <w:vAlign w:val="center"/>
          </w:tcPr>
          <w:p>
            <w:pPr>
              <w:jc w:val="center"/>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357" w:type="pct"/>
            <w:shd w:val="clear" w:color="auto" w:fill="auto"/>
            <w:vAlign w:val="center"/>
          </w:tcPr>
          <w:p>
            <w:pPr>
              <w:widowControl/>
              <w:jc w:val="center"/>
              <w:textAlignment w:val="center"/>
              <w:rPr>
                <w:rFonts w:ascii="宋体" w:hAnsi="宋体" w:eastAsia="宋体" w:cs="宋体"/>
                <w:kern w:val="0"/>
                <w:sz w:val="18"/>
                <w:szCs w:val="18"/>
                <w:lang w:bidi="ar"/>
              </w:rPr>
            </w:pPr>
          </w:p>
        </w:tc>
        <w:tc>
          <w:tcPr>
            <w:tcW w:w="357" w:type="pct"/>
            <w:shd w:val="clear" w:color="auto" w:fill="auto"/>
            <w:vAlign w:val="center"/>
          </w:tcPr>
          <w:p>
            <w:pPr>
              <w:jc w:val="center"/>
              <w:rPr>
                <w:rFonts w:ascii="宋体" w:hAnsi="宋体" w:eastAsia="宋体" w:cs="宋体"/>
                <w:sz w:val="18"/>
                <w:szCs w:val="18"/>
              </w:rPr>
            </w:pPr>
          </w:p>
        </w:tc>
        <w:tc>
          <w:tcPr>
            <w:tcW w:w="357" w:type="pct"/>
            <w:shd w:val="clear" w:color="auto" w:fill="auto"/>
            <w:vAlign w:val="center"/>
          </w:tcPr>
          <w:p>
            <w:pPr>
              <w:jc w:val="center"/>
              <w:rPr>
                <w:rFonts w:ascii="宋体" w:hAnsi="宋体" w:eastAsia="宋体" w:cs="宋体"/>
                <w:sz w:val="18"/>
                <w:szCs w:val="18"/>
              </w:rPr>
            </w:pPr>
          </w:p>
        </w:tc>
        <w:tc>
          <w:tcPr>
            <w:tcW w:w="357" w:type="pct"/>
            <w:shd w:val="clear" w:color="auto" w:fill="auto"/>
            <w:vAlign w:val="center"/>
          </w:tcPr>
          <w:p>
            <w:pPr>
              <w:jc w:val="center"/>
              <w:rPr>
                <w:rFonts w:ascii="宋体" w:hAnsi="宋体" w:eastAsia="宋体" w:cs="宋体"/>
                <w:sz w:val="18"/>
                <w:szCs w:val="18"/>
              </w:rPr>
            </w:pPr>
          </w:p>
        </w:tc>
        <w:tc>
          <w:tcPr>
            <w:tcW w:w="357" w:type="pct"/>
            <w:shd w:val="clear" w:color="auto" w:fill="auto"/>
            <w:vAlign w:val="center"/>
          </w:tcPr>
          <w:p>
            <w:pPr>
              <w:jc w:val="center"/>
              <w:rPr>
                <w:rFonts w:ascii="宋体" w:hAnsi="宋体" w:eastAsia="宋体" w:cs="宋体"/>
                <w:sz w:val="18"/>
                <w:szCs w:val="18"/>
              </w:rPr>
            </w:pPr>
          </w:p>
        </w:tc>
        <w:tc>
          <w:tcPr>
            <w:tcW w:w="357" w:type="pct"/>
            <w:shd w:val="clear" w:color="auto" w:fill="auto"/>
            <w:vAlign w:val="center"/>
          </w:tcPr>
          <w:p>
            <w:pPr>
              <w:jc w:val="center"/>
              <w:rPr>
                <w:rFonts w:ascii="宋体" w:hAnsi="宋体" w:eastAsia="宋体" w:cs="宋体"/>
                <w:sz w:val="18"/>
                <w:szCs w:val="18"/>
              </w:rPr>
            </w:pPr>
          </w:p>
        </w:tc>
        <w:tc>
          <w:tcPr>
            <w:tcW w:w="357" w:type="pct"/>
            <w:shd w:val="clear" w:color="auto" w:fill="auto"/>
            <w:vAlign w:val="center"/>
          </w:tcPr>
          <w:p>
            <w:pPr>
              <w:jc w:val="center"/>
              <w:rPr>
                <w:rFonts w:ascii="宋体" w:hAnsi="宋体" w:eastAsia="宋体" w:cs="宋体"/>
                <w:sz w:val="18"/>
                <w:szCs w:val="18"/>
              </w:rPr>
            </w:pPr>
          </w:p>
        </w:tc>
        <w:tc>
          <w:tcPr>
            <w:tcW w:w="357" w:type="pct"/>
            <w:shd w:val="clear" w:color="auto" w:fill="auto"/>
            <w:vAlign w:val="center"/>
          </w:tcPr>
          <w:p>
            <w:pPr>
              <w:jc w:val="center"/>
              <w:rPr>
                <w:rFonts w:ascii="宋体" w:hAnsi="宋体" w:eastAsia="宋体" w:cs="宋体"/>
                <w:sz w:val="18"/>
                <w:szCs w:val="18"/>
              </w:rPr>
            </w:pPr>
          </w:p>
        </w:tc>
        <w:tc>
          <w:tcPr>
            <w:tcW w:w="357" w:type="pct"/>
            <w:shd w:val="clear" w:color="auto" w:fill="auto"/>
            <w:vAlign w:val="center"/>
          </w:tcPr>
          <w:p>
            <w:pPr>
              <w:jc w:val="center"/>
              <w:rPr>
                <w:rFonts w:ascii="宋体" w:hAnsi="宋体" w:eastAsia="宋体" w:cs="宋体"/>
                <w:sz w:val="18"/>
                <w:szCs w:val="18"/>
              </w:rPr>
            </w:pPr>
          </w:p>
        </w:tc>
        <w:tc>
          <w:tcPr>
            <w:tcW w:w="357" w:type="pct"/>
            <w:shd w:val="clear" w:color="auto" w:fill="auto"/>
            <w:vAlign w:val="center"/>
          </w:tcPr>
          <w:p>
            <w:pPr>
              <w:jc w:val="center"/>
              <w:rPr>
                <w:rFonts w:ascii="宋体" w:hAnsi="宋体" w:eastAsia="宋体" w:cs="宋体"/>
                <w:sz w:val="18"/>
                <w:szCs w:val="18"/>
              </w:rPr>
            </w:pPr>
          </w:p>
        </w:tc>
        <w:tc>
          <w:tcPr>
            <w:tcW w:w="357" w:type="pct"/>
            <w:shd w:val="clear" w:color="auto" w:fill="auto"/>
            <w:vAlign w:val="center"/>
          </w:tcPr>
          <w:p>
            <w:pPr>
              <w:jc w:val="center"/>
              <w:rPr>
                <w:rFonts w:ascii="宋体" w:hAnsi="宋体" w:eastAsia="宋体" w:cs="宋体"/>
                <w:sz w:val="18"/>
                <w:szCs w:val="18"/>
              </w:rPr>
            </w:pPr>
          </w:p>
        </w:tc>
        <w:tc>
          <w:tcPr>
            <w:tcW w:w="357" w:type="pct"/>
            <w:shd w:val="clear" w:color="auto" w:fill="auto"/>
            <w:vAlign w:val="center"/>
          </w:tcPr>
          <w:p>
            <w:pPr>
              <w:jc w:val="center"/>
              <w:rPr>
                <w:rFonts w:ascii="宋体" w:hAnsi="宋体" w:eastAsia="宋体" w:cs="宋体"/>
                <w:sz w:val="18"/>
                <w:szCs w:val="18"/>
              </w:rPr>
            </w:pPr>
          </w:p>
        </w:tc>
        <w:tc>
          <w:tcPr>
            <w:tcW w:w="357" w:type="pct"/>
            <w:shd w:val="clear" w:color="auto" w:fill="auto"/>
            <w:vAlign w:val="center"/>
          </w:tcPr>
          <w:p>
            <w:pPr>
              <w:jc w:val="center"/>
              <w:rPr>
                <w:rFonts w:ascii="宋体" w:hAnsi="宋体" w:eastAsia="宋体" w:cs="宋体"/>
                <w:sz w:val="18"/>
                <w:szCs w:val="18"/>
              </w:rPr>
            </w:pPr>
          </w:p>
        </w:tc>
        <w:tc>
          <w:tcPr>
            <w:tcW w:w="357" w:type="pct"/>
            <w:shd w:val="clear" w:color="auto" w:fill="auto"/>
            <w:vAlign w:val="center"/>
          </w:tcPr>
          <w:p>
            <w:pPr>
              <w:jc w:val="center"/>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357" w:type="pct"/>
            <w:shd w:val="clear" w:color="auto" w:fill="auto"/>
            <w:vAlign w:val="center"/>
          </w:tcPr>
          <w:p>
            <w:pPr>
              <w:widowControl/>
              <w:jc w:val="center"/>
              <w:textAlignment w:val="center"/>
              <w:rPr>
                <w:rFonts w:ascii="宋体" w:hAnsi="宋体" w:eastAsia="宋体" w:cs="宋体"/>
                <w:kern w:val="0"/>
                <w:sz w:val="18"/>
                <w:szCs w:val="18"/>
                <w:lang w:bidi="ar"/>
              </w:rPr>
            </w:pPr>
          </w:p>
        </w:tc>
        <w:tc>
          <w:tcPr>
            <w:tcW w:w="357" w:type="pct"/>
            <w:shd w:val="clear" w:color="auto" w:fill="auto"/>
            <w:vAlign w:val="center"/>
          </w:tcPr>
          <w:p>
            <w:pPr>
              <w:jc w:val="center"/>
              <w:rPr>
                <w:rFonts w:ascii="宋体" w:hAnsi="宋体" w:eastAsia="宋体" w:cs="宋体"/>
                <w:sz w:val="18"/>
                <w:szCs w:val="18"/>
              </w:rPr>
            </w:pPr>
          </w:p>
        </w:tc>
        <w:tc>
          <w:tcPr>
            <w:tcW w:w="357" w:type="pct"/>
            <w:shd w:val="clear" w:color="auto" w:fill="auto"/>
            <w:vAlign w:val="center"/>
          </w:tcPr>
          <w:p>
            <w:pPr>
              <w:jc w:val="center"/>
              <w:rPr>
                <w:rFonts w:ascii="宋体" w:hAnsi="宋体" w:eastAsia="宋体" w:cs="宋体"/>
                <w:sz w:val="18"/>
                <w:szCs w:val="18"/>
              </w:rPr>
            </w:pPr>
          </w:p>
        </w:tc>
        <w:tc>
          <w:tcPr>
            <w:tcW w:w="357" w:type="pct"/>
            <w:shd w:val="clear" w:color="auto" w:fill="auto"/>
            <w:vAlign w:val="center"/>
          </w:tcPr>
          <w:p>
            <w:pPr>
              <w:jc w:val="center"/>
              <w:rPr>
                <w:rFonts w:ascii="宋体" w:hAnsi="宋体" w:eastAsia="宋体" w:cs="宋体"/>
                <w:sz w:val="18"/>
                <w:szCs w:val="18"/>
              </w:rPr>
            </w:pPr>
          </w:p>
        </w:tc>
        <w:tc>
          <w:tcPr>
            <w:tcW w:w="357" w:type="pct"/>
            <w:shd w:val="clear" w:color="auto" w:fill="auto"/>
            <w:vAlign w:val="center"/>
          </w:tcPr>
          <w:p>
            <w:pPr>
              <w:jc w:val="center"/>
              <w:rPr>
                <w:rFonts w:ascii="宋体" w:hAnsi="宋体" w:eastAsia="宋体" w:cs="宋体"/>
                <w:sz w:val="18"/>
                <w:szCs w:val="18"/>
              </w:rPr>
            </w:pPr>
          </w:p>
        </w:tc>
        <w:tc>
          <w:tcPr>
            <w:tcW w:w="357" w:type="pct"/>
            <w:shd w:val="clear" w:color="auto" w:fill="auto"/>
            <w:vAlign w:val="center"/>
          </w:tcPr>
          <w:p>
            <w:pPr>
              <w:jc w:val="center"/>
              <w:rPr>
                <w:rFonts w:ascii="宋体" w:hAnsi="宋体" w:eastAsia="宋体" w:cs="宋体"/>
                <w:sz w:val="18"/>
                <w:szCs w:val="18"/>
              </w:rPr>
            </w:pPr>
          </w:p>
        </w:tc>
        <w:tc>
          <w:tcPr>
            <w:tcW w:w="357" w:type="pct"/>
            <w:shd w:val="clear" w:color="auto" w:fill="auto"/>
            <w:vAlign w:val="center"/>
          </w:tcPr>
          <w:p>
            <w:pPr>
              <w:jc w:val="center"/>
              <w:rPr>
                <w:rFonts w:ascii="宋体" w:hAnsi="宋体" w:eastAsia="宋体" w:cs="宋体"/>
                <w:sz w:val="18"/>
                <w:szCs w:val="18"/>
              </w:rPr>
            </w:pPr>
          </w:p>
        </w:tc>
        <w:tc>
          <w:tcPr>
            <w:tcW w:w="357" w:type="pct"/>
            <w:shd w:val="clear" w:color="auto" w:fill="auto"/>
            <w:vAlign w:val="center"/>
          </w:tcPr>
          <w:p>
            <w:pPr>
              <w:jc w:val="center"/>
              <w:rPr>
                <w:rFonts w:ascii="宋体" w:hAnsi="宋体" w:eastAsia="宋体" w:cs="宋体"/>
                <w:sz w:val="18"/>
                <w:szCs w:val="18"/>
              </w:rPr>
            </w:pPr>
          </w:p>
        </w:tc>
        <w:tc>
          <w:tcPr>
            <w:tcW w:w="357" w:type="pct"/>
            <w:shd w:val="clear" w:color="auto" w:fill="auto"/>
            <w:vAlign w:val="center"/>
          </w:tcPr>
          <w:p>
            <w:pPr>
              <w:jc w:val="center"/>
              <w:rPr>
                <w:rFonts w:ascii="宋体" w:hAnsi="宋体" w:eastAsia="宋体" w:cs="宋体"/>
                <w:sz w:val="18"/>
                <w:szCs w:val="18"/>
              </w:rPr>
            </w:pPr>
          </w:p>
        </w:tc>
        <w:tc>
          <w:tcPr>
            <w:tcW w:w="357" w:type="pct"/>
            <w:shd w:val="clear" w:color="auto" w:fill="auto"/>
            <w:vAlign w:val="center"/>
          </w:tcPr>
          <w:p>
            <w:pPr>
              <w:jc w:val="center"/>
              <w:rPr>
                <w:rFonts w:ascii="宋体" w:hAnsi="宋体" w:eastAsia="宋体" w:cs="宋体"/>
                <w:sz w:val="18"/>
                <w:szCs w:val="18"/>
              </w:rPr>
            </w:pPr>
          </w:p>
        </w:tc>
        <w:tc>
          <w:tcPr>
            <w:tcW w:w="357" w:type="pct"/>
            <w:shd w:val="clear" w:color="auto" w:fill="auto"/>
            <w:vAlign w:val="center"/>
          </w:tcPr>
          <w:p>
            <w:pPr>
              <w:jc w:val="center"/>
              <w:rPr>
                <w:rFonts w:ascii="宋体" w:hAnsi="宋体" w:eastAsia="宋体" w:cs="宋体"/>
                <w:sz w:val="18"/>
                <w:szCs w:val="18"/>
              </w:rPr>
            </w:pPr>
          </w:p>
        </w:tc>
        <w:tc>
          <w:tcPr>
            <w:tcW w:w="357" w:type="pct"/>
            <w:shd w:val="clear" w:color="auto" w:fill="auto"/>
            <w:vAlign w:val="center"/>
          </w:tcPr>
          <w:p>
            <w:pPr>
              <w:jc w:val="center"/>
              <w:rPr>
                <w:rFonts w:ascii="宋体" w:hAnsi="宋体" w:eastAsia="宋体" w:cs="宋体"/>
                <w:sz w:val="18"/>
                <w:szCs w:val="18"/>
              </w:rPr>
            </w:pPr>
          </w:p>
        </w:tc>
        <w:tc>
          <w:tcPr>
            <w:tcW w:w="357" w:type="pct"/>
            <w:shd w:val="clear" w:color="auto" w:fill="auto"/>
            <w:vAlign w:val="center"/>
          </w:tcPr>
          <w:p>
            <w:pPr>
              <w:jc w:val="center"/>
              <w:rPr>
                <w:rFonts w:ascii="宋体" w:hAnsi="宋体" w:eastAsia="宋体" w:cs="宋体"/>
                <w:sz w:val="18"/>
                <w:szCs w:val="18"/>
              </w:rPr>
            </w:pPr>
          </w:p>
        </w:tc>
        <w:tc>
          <w:tcPr>
            <w:tcW w:w="357" w:type="pct"/>
            <w:shd w:val="clear" w:color="auto" w:fill="auto"/>
            <w:vAlign w:val="center"/>
          </w:tcPr>
          <w:p>
            <w:pPr>
              <w:jc w:val="center"/>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357" w:type="pct"/>
            <w:shd w:val="clear" w:color="auto" w:fill="auto"/>
            <w:vAlign w:val="center"/>
          </w:tcPr>
          <w:p>
            <w:pPr>
              <w:widowControl/>
              <w:jc w:val="center"/>
              <w:textAlignment w:val="center"/>
              <w:rPr>
                <w:rFonts w:ascii="宋体" w:hAnsi="宋体" w:eastAsia="宋体" w:cs="宋体"/>
                <w:kern w:val="0"/>
                <w:sz w:val="18"/>
                <w:szCs w:val="18"/>
                <w:lang w:bidi="ar"/>
              </w:rPr>
            </w:pPr>
          </w:p>
        </w:tc>
        <w:tc>
          <w:tcPr>
            <w:tcW w:w="357" w:type="pct"/>
            <w:shd w:val="clear" w:color="auto" w:fill="auto"/>
            <w:vAlign w:val="center"/>
          </w:tcPr>
          <w:p>
            <w:pPr>
              <w:jc w:val="center"/>
              <w:rPr>
                <w:rFonts w:ascii="宋体" w:hAnsi="宋体" w:eastAsia="宋体" w:cs="宋体"/>
                <w:sz w:val="18"/>
                <w:szCs w:val="18"/>
              </w:rPr>
            </w:pPr>
          </w:p>
        </w:tc>
        <w:tc>
          <w:tcPr>
            <w:tcW w:w="357" w:type="pct"/>
            <w:shd w:val="clear" w:color="auto" w:fill="auto"/>
            <w:vAlign w:val="center"/>
          </w:tcPr>
          <w:p>
            <w:pPr>
              <w:jc w:val="center"/>
              <w:rPr>
                <w:rFonts w:ascii="宋体" w:hAnsi="宋体" w:eastAsia="宋体" w:cs="宋体"/>
                <w:sz w:val="18"/>
                <w:szCs w:val="18"/>
              </w:rPr>
            </w:pPr>
          </w:p>
        </w:tc>
        <w:tc>
          <w:tcPr>
            <w:tcW w:w="357" w:type="pct"/>
            <w:shd w:val="clear" w:color="auto" w:fill="auto"/>
            <w:vAlign w:val="center"/>
          </w:tcPr>
          <w:p>
            <w:pPr>
              <w:jc w:val="center"/>
              <w:rPr>
                <w:rFonts w:ascii="宋体" w:hAnsi="宋体" w:eastAsia="宋体" w:cs="宋体"/>
                <w:sz w:val="18"/>
                <w:szCs w:val="18"/>
              </w:rPr>
            </w:pPr>
          </w:p>
        </w:tc>
        <w:tc>
          <w:tcPr>
            <w:tcW w:w="357" w:type="pct"/>
            <w:shd w:val="clear" w:color="auto" w:fill="auto"/>
            <w:vAlign w:val="center"/>
          </w:tcPr>
          <w:p>
            <w:pPr>
              <w:jc w:val="center"/>
              <w:rPr>
                <w:rFonts w:ascii="宋体" w:hAnsi="宋体" w:eastAsia="宋体" w:cs="宋体"/>
                <w:sz w:val="18"/>
                <w:szCs w:val="18"/>
              </w:rPr>
            </w:pPr>
          </w:p>
        </w:tc>
        <w:tc>
          <w:tcPr>
            <w:tcW w:w="357" w:type="pct"/>
            <w:shd w:val="clear" w:color="auto" w:fill="auto"/>
            <w:vAlign w:val="center"/>
          </w:tcPr>
          <w:p>
            <w:pPr>
              <w:jc w:val="center"/>
              <w:rPr>
                <w:rFonts w:ascii="宋体" w:hAnsi="宋体" w:eastAsia="宋体" w:cs="宋体"/>
                <w:sz w:val="18"/>
                <w:szCs w:val="18"/>
              </w:rPr>
            </w:pPr>
          </w:p>
        </w:tc>
        <w:tc>
          <w:tcPr>
            <w:tcW w:w="357" w:type="pct"/>
            <w:shd w:val="clear" w:color="auto" w:fill="auto"/>
            <w:vAlign w:val="center"/>
          </w:tcPr>
          <w:p>
            <w:pPr>
              <w:jc w:val="center"/>
              <w:rPr>
                <w:rFonts w:ascii="宋体" w:hAnsi="宋体" w:eastAsia="宋体" w:cs="宋体"/>
                <w:sz w:val="18"/>
                <w:szCs w:val="18"/>
              </w:rPr>
            </w:pPr>
          </w:p>
        </w:tc>
        <w:tc>
          <w:tcPr>
            <w:tcW w:w="357" w:type="pct"/>
            <w:shd w:val="clear" w:color="auto" w:fill="auto"/>
            <w:vAlign w:val="center"/>
          </w:tcPr>
          <w:p>
            <w:pPr>
              <w:jc w:val="center"/>
              <w:rPr>
                <w:rFonts w:ascii="宋体" w:hAnsi="宋体" w:eastAsia="宋体" w:cs="宋体"/>
                <w:sz w:val="18"/>
                <w:szCs w:val="18"/>
              </w:rPr>
            </w:pPr>
          </w:p>
        </w:tc>
        <w:tc>
          <w:tcPr>
            <w:tcW w:w="357" w:type="pct"/>
            <w:shd w:val="clear" w:color="auto" w:fill="auto"/>
            <w:vAlign w:val="center"/>
          </w:tcPr>
          <w:p>
            <w:pPr>
              <w:jc w:val="center"/>
              <w:rPr>
                <w:rFonts w:ascii="宋体" w:hAnsi="宋体" w:eastAsia="宋体" w:cs="宋体"/>
                <w:sz w:val="18"/>
                <w:szCs w:val="18"/>
              </w:rPr>
            </w:pPr>
          </w:p>
        </w:tc>
        <w:tc>
          <w:tcPr>
            <w:tcW w:w="357" w:type="pct"/>
            <w:shd w:val="clear" w:color="auto" w:fill="auto"/>
            <w:vAlign w:val="center"/>
          </w:tcPr>
          <w:p>
            <w:pPr>
              <w:jc w:val="center"/>
              <w:rPr>
                <w:rFonts w:ascii="宋体" w:hAnsi="宋体" w:eastAsia="宋体" w:cs="宋体"/>
                <w:sz w:val="18"/>
                <w:szCs w:val="18"/>
              </w:rPr>
            </w:pPr>
          </w:p>
        </w:tc>
        <w:tc>
          <w:tcPr>
            <w:tcW w:w="357" w:type="pct"/>
            <w:shd w:val="clear" w:color="auto" w:fill="auto"/>
            <w:vAlign w:val="center"/>
          </w:tcPr>
          <w:p>
            <w:pPr>
              <w:jc w:val="center"/>
              <w:rPr>
                <w:rFonts w:ascii="宋体" w:hAnsi="宋体" w:eastAsia="宋体" w:cs="宋体"/>
                <w:sz w:val="18"/>
                <w:szCs w:val="18"/>
              </w:rPr>
            </w:pPr>
          </w:p>
        </w:tc>
        <w:tc>
          <w:tcPr>
            <w:tcW w:w="357" w:type="pct"/>
            <w:shd w:val="clear" w:color="auto" w:fill="auto"/>
            <w:vAlign w:val="center"/>
          </w:tcPr>
          <w:p>
            <w:pPr>
              <w:jc w:val="center"/>
              <w:rPr>
                <w:rFonts w:ascii="宋体" w:hAnsi="宋体" w:eastAsia="宋体" w:cs="宋体"/>
                <w:sz w:val="18"/>
                <w:szCs w:val="18"/>
              </w:rPr>
            </w:pPr>
          </w:p>
        </w:tc>
        <w:tc>
          <w:tcPr>
            <w:tcW w:w="357" w:type="pct"/>
            <w:shd w:val="clear" w:color="auto" w:fill="auto"/>
            <w:vAlign w:val="center"/>
          </w:tcPr>
          <w:p>
            <w:pPr>
              <w:jc w:val="center"/>
              <w:rPr>
                <w:rFonts w:ascii="宋体" w:hAnsi="宋体" w:eastAsia="宋体" w:cs="宋体"/>
                <w:sz w:val="18"/>
                <w:szCs w:val="18"/>
              </w:rPr>
            </w:pPr>
          </w:p>
        </w:tc>
        <w:tc>
          <w:tcPr>
            <w:tcW w:w="357" w:type="pct"/>
            <w:shd w:val="clear" w:color="auto" w:fill="auto"/>
            <w:vAlign w:val="center"/>
          </w:tcPr>
          <w:p>
            <w:pPr>
              <w:jc w:val="center"/>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357" w:type="pct"/>
            <w:shd w:val="clear" w:color="auto" w:fill="auto"/>
            <w:vAlign w:val="center"/>
          </w:tcPr>
          <w:p>
            <w:pPr>
              <w:widowControl/>
              <w:jc w:val="center"/>
              <w:textAlignment w:val="center"/>
              <w:rPr>
                <w:rFonts w:ascii="宋体" w:hAnsi="宋体" w:eastAsia="宋体" w:cs="宋体"/>
                <w:kern w:val="0"/>
                <w:sz w:val="18"/>
                <w:szCs w:val="18"/>
                <w:lang w:bidi="ar"/>
              </w:rPr>
            </w:pPr>
          </w:p>
        </w:tc>
        <w:tc>
          <w:tcPr>
            <w:tcW w:w="357" w:type="pct"/>
            <w:shd w:val="clear" w:color="auto" w:fill="auto"/>
            <w:vAlign w:val="center"/>
          </w:tcPr>
          <w:p>
            <w:pPr>
              <w:jc w:val="center"/>
              <w:rPr>
                <w:rFonts w:ascii="宋体" w:hAnsi="宋体" w:eastAsia="宋体" w:cs="宋体"/>
                <w:sz w:val="18"/>
                <w:szCs w:val="18"/>
              </w:rPr>
            </w:pPr>
          </w:p>
        </w:tc>
        <w:tc>
          <w:tcPr>
            <w:tcW w:w="357" w:type="pct"/>
            <w:shd w:val="clear" w:color="auto" w:fill="auto"/>
            <w:vAlign w:val="center"/>
          </w:tcPr>
          <w:p>
            <w:pPr>
              <w:jc w:val="center"/>
              <w:rPr>
                <w:rFonts w:ascii="宋体" w:hAnsi="宋体" w:eastAsia="宋体" w:cs="宋体"/>
                <w:sz w:val="18"/>
                <w:szCs w:val="18"/>
              </w:rPr>
            </w:pPr>
          </w:p>
        </w:tc>
        <w:tc>
          <w:tcPr>
            <w:tcW w:w="357" w:type="pct"/>
            <w:shd w:val="clear" w:color="auto" w:fill="auto"/>
            <w:vAlign w:val="center"/>
          </w:tcPr>
          <w:p>
            <w:pPr>
              <w:jc w:val="center"/>
              <w:rPr>
                <w:rFonts w:ascii="宋体" w:hAnsi="宋体" w:eastAsia="宋体" w:cs="宋体"/>
                <w:sz w:val="18"/>
                <w:szCs w:val="18"/>
              </w:rPr>
            </w:pPr>
          </w:p>
        </w:tc>
        <w:tc>
          <w:tcPr>
            <w:tcW w:w="357" w:type="pct"/>
            <w:shd w:val="clear" w:color="auto" w:fill="auto"/>
            <w:vAlign w:val="center"/>
          </w:tcPr>
          <w:p>
            <w:pPr>
              <w:jc w:val="center"/>
              <w:rPr>
                <w:rFonts w:ascii="宋体" w:hAnsi="宋体" w:eastAsia="宋体" w:cs="宋体"/>
                <w:sz w:val="18"/>
                <w:szCs w:val="18"/>
              </w:rPr>
            </w:pPr>
          </w:p>
        </w:tc>
        <w:tc>
          <w:tcPr>
            <w:tcW w:w="357" w:type="pct"/>
            <w:shd w:val="clear" w:color="auto" w:fill="auto"/>
            <w:vAlign w:val="center"/>
          </w:tcPr>
          <w:p>
            <w:pPr>
              <w:jc w:val="center"/>
              <w:rPr>
                <w:rFonts w:ascii="宋体" w:hAnsi="宋体" w:eastAsia="宋体" w:cs="宋体"/>
                <w:sz w:val="18"/>
                <w:szCs w:val="18"/>
              </w:rPr>
            </w:pPr>
          </w:p>
        </w:tc>
        <w:tc>
          <w:tcPr>
            <w:tcW w:w="357" w:type="pct"/>
            <w:shd w:val="clear" w:color="auto" w:fill="auto"/>
            <w:vAlign w:val="center"/>
          </w:tcPr>
          <w:p>
            <w:pPr>
              <w:jc w:val="center"/>
              <w:rPr>
                <w:rFonts w:ascii="宋体" w:hAnsi="宋体" w:eastAsia="宋体" w:cs="宋体"/>
                <w:sz w:val="18"/>
                <w:szCs w:val="18"/>
              </w:rPr>
            </w:pPr>
          </w:p>
        </w:tc>
        <w:tc>
          <w:tcPr>
            <w:tcW w:w="357" w:type="pct"/>
            <w:shd w:val="clear" w:color="auto" w:fill="auto"/>
            <w:vAlign w:val="center"/>
          </w:tcPr>
          <w:p>
            <w:pPr>
              <w:jc w:val="center"/>
              <w:rPr>
                <w:rFonts w:ascii="宋体" w:hAnsi="宋体" w:eastAsia="宋体" w:cs="宋体"/>
                <w:sz w:val="18"/>
                <w:szCs w:val="18"/>
              </w:rPr>
            </w:pPr>
          </w:p>
        </w:tc>
        <w:tc>
          <w:tcPr>
            <w:tcW w:w="357" w:type="pct"/>
            <w:shd w:val="clear" w:color="auto" w:fill="auto"/>
            <w:vAlign w:val="center"/>
          </w:tcPr>
          <w:p>
            <w:pPr>
              <w:jc w:val="center"/>
              <w:rPr>
                <w:rFonts w:ascii="宋体" w:hAnsi="宋体" w:eastAsia="宋体" w:cs="宋体"/>
                <w:sz w:val="18"/>
                <w:szCs w:val="18"/>
              </w:rPr>
            </w:pPr>
          </w:p>
        </w:tc>
        <w:tc>
          <w:tcPr>
            <w:tcW w:w="357" w:type="pct"/>
            <w:shd w:val="clear" w:color="auto" w:fill="auto"/>
            <w:vAlign w:val="center"/>
          </w:tcPr>
          <w:p>
            <w:pPr>
              <w:jc w:val="center"/>
              <w:rPr>
                <w:rFonts w:ascii="宋体" w:hAnsi="宋体" w:eastAsia="宋体" w:cs="宋体"/>
                <w:sz w:val="18"/>
                <w:szCs w:val="18"/>
              </w:rPr>
            </w:pPr>
          </w:p>
        </w:tc>
        <w:tc>
          <w:tcPr>
            <w:tcW w:w="357" w:type="pct"/>
            <w:shd w:val="clear" w:color="auto" w:fill="auto"/>
            <w:vAlign w:val="center"/>
          </w:tcPr>
          <w:p>
            <w:pPr>
              <w:jc w:val="center"/>
              <w:rPr>
                <w:rFonts w:ascii="宋体" w:hAnsi="宋体" w:eastAsia="宋体" w:cs="宋体"/>
                <w:sz w:val="18"/>
                <w:szCs w:val="18"/>
              </w:rPr>
            </w:pPr>
          </w:p>
        </w:tc>
        <w:tc>
          <w:tcPr>
            <w:tcW w:w="357" w:type="pct"/>
            <w:shd w:val="clear" w:color="auto" w:fill="auto"/>
            <w:vAlign w:val="center"/>
          </w:tcPr>
          <w:p>
            <w:pPr>
              <w:jc w:val="center"/>
              <w:rPr>
                <w:rFonts w:ascii="宋体" w:hAnsi="宋体" w:eastAsia="宋体" w:cs="宋体"/>
                <w:sz w:val="18"/>
                <w:szCs w:val="18"/>
              </w:rPr>
            </w:pPr>
          </w:p>
        </w:tc>
        <w:tc>
          <w:tcPr>
            <w:tcW w:w="357" w:type="pct"/>
            <w:shd w:val="clear" w:color="auto" w:fill="auto"/>
            <w:vAlign w:val="center"/>
          </w:tcPr>
          <w:p>
            <w:pPr>
              <w:jc w:val="center"/>
              <w:rPr>
                <w:rFonts w:ascii="宋体" w:hAnsi="宋体" w:eastAsia="宋体" w:cs="宋体"/>
                <w:sz w:val="18"/>
                <w:szCs w:val="18"/>
              </w:rPr>
            </w:pPr>
          </w:p>
        </w:tc>
        <w:tc>
          <w:tcPr>
            <w:tcW w:w="357" w:type="pct"/>
            <w:shd w:val="clear" w:color="auto" w:fill="auto"/>
            <w:vAlign w:val="center"/>
          </w:tcPr>
          <w:p>
            <w:pPr>
              <w:jc w:val="center"/>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357" w:type="pct"/>
            <w:shd w:val="clear" w:color="auto" w:fill="auto"/>
            <w:vAlign w:val="center"/>
          </w:tcPr>
          <w:p>
            <w:pPr>
              <w:widowControl/>
              <w:jc w:val="center"/>
              <w:textAlignment w:val="center"/>
              <w:rPr>
                <w:rFonts w:ascii="宋体" w:hAnsi="宋体" w:eastAsia="宋体" w:cs="宋体"/>
                <w:kern w:val="0"/>
                <w:sz w:val="18"/>
                <w:szCs w:val="18"/>
                <w:lang w:bidi="ar"/>
              </w:rPr>
            </w:pPr>
          </w:p>
        </w:tc>
        <w:tc>
          <w:tcPr>
            <w:tcW w:w="357" w:type="pct"/>
            <w:shd w:val="clear" w:color="auto" w:fill="auto"/>
            <w:vAlign w:val="center"/>
          </w:tcPr>
          <w:p>
            <w:pPr>
              <w:jc w:val="center"/>
              <w:rPr>
                <w:rFonts w:ascii="宋体" w:hAnsi="宋体" w:eastAsia="宋体" w:cs="宋体"/>
                <w:sz w:val="18"/>
                <w:szCs w:val="18"/>
              </w:rPr>
            </w:pPr>
          </w:p>
        </w:tc>
        <w:tc>
          <w:tcPr>
            <w:tcW w:w="357" w:type="pct"/>
            <w:shd w:val="clear" w:color="auto" w:fill="auto"/>
            <w:vAlign w:val="center"/>
          </w:tcPr>
          <w:p>
            <w:pPr>
              <w:jc w:val="center"/>
              <w:rPr>
                <w:rFonts w:ascii="宋体" w:hAnsi="宋体" w:eastAsia="宋体" w:cs="宋体"/>
                <w:sz w:val="18"/>
                <w:szCs w:val="18"/>
              </w:rPr>
            </w:pPr>
          </w:p>
        </w:tc>
        <w:tc>
          <w:tcPr>
            <w:tcW w:w="357" w:type="pct"/>
            <w:shd w:val="clear" w:color="auto" w:fill="auto"/>
            <w:vAlign w:val="center"/>
          </w:tcPr>
          <w:p>
            <w:pPr>
              <w:jc w:val="center"/>
              <w:rPr>
                <w:rFonts w:ascii="宋体" w:hAnsi="宋体" w:eastAsia="宋体" w:cs="宋体"/>
                <w:sz w:val="18"/>
                <w:szCs w:val="18"/>
              </w:rPr>
            </w:pPr>
          </w:p>
        </w:tc>
        <w:tc>
          <w:tcPr>
            <w:tcW w:w="357" w:type="pct"/>
            <w:shd w:val="clear" w:color="auto" w:fill="auto"/>
            <w:vAlign w:val="center"/>
          </w:tcPr>
          <w:p>
            <w:pPr>
              <w:jc w:val="center"/>
              <w:rPr>
                <w:rFonts w:ascii="宋体" w:hAnsi="宋体" w:eastAsia="宋体" w:cs="宋体"/>
                <w:sz w:val="18"/>
                <w:szCs w:val="18"/>
              </w:rPr>
            </w:pPr>
          </w:p>
        </w:tc>
        <w:tc>
          <w:tcPr>
            <w:tcW w:w="357" w:type="pct"/>
            <w:shd w:val="clear" w:color="auto" w:fill="auto"/>
            <w:vAlign w:val="center"/>
          </w:tcPr>
          <w:p>
            <w:pPr>
              <w:jc w:val="center"/>
              <w:rPr>
                <w:rFonts w:ascii="宋体" w:hAnsi="宋体" w:eastAsia="宋体" w:cs="宋体"/>
                <w:sz w:val="18"/>
                <w:szCs w:val="18"/>
              </w:rPr>
            </w:pPr>
          </w:p>
        </w:tc>
        <w:tc>
          <w:tcPr>
            <w:tcW w:w="357" w:type="pct"/>
            <w:shd w:val="clear" w:color="auto" w:fill="auto"/>
            <w:vAlign w:val="center"/>
          </w:tcPr>
          <w:p>
            <w:pPr>
              <w:jc w:val="center"/>
              <w:rPr>
                <w:rFonts w:ascii="宋体" w:hAnsi="宋体" w:eastAsia="宋体" w:cs="宋体"/>
                <w:sz w:val="18"/>
                <w:szCs w:val="18"/>
              </w:rPr>
            </w:pPr>
          </w:p>
        </w:tc>
        <w:tc>
          <w:tcPr>
            <w:tcW w:w="357" w:type="pct"/>
            <w:shd w:val="clear" w:color="auto" w:fill="auto"/>
            <w:vAlign w:val="center"/>
          </w:tcPr>
          <w:p>
            <w:pPr>
              <w:jc w:val="center"/>
              <w:rPr>
                <w:rFonts w:ascii="宋体" w:hAnsi="宋体" w:eastAsia="宋体" w:cs="宋体"/>
                <w:sz w:val="18"/>
                <w:szCs w:val="18"/>
              </w:rPr>
            </w:pPr>
          </w:p>
        </w:tc>
        <w:tc>
          <w:tcPr>
            <w:tcW w:w="357" w:type="pct"/>
            <w:shd w:val="clear" w:color="auto" w:fill="auto"/>
            <w:vAlign w:val="center"/>
          </w:tcPr>
          <w:p>
            <w:pPr>
              <w:jc w:val="center"/>
              <w:rPr>
                <w:rFonts w:ascii="宋体" w:hAnsi="宋体" w:eastAsia="宋体" w:cs="宋体"/>
                <w:sz w:val="18"/>
                <w:szCs w:val="18"/>
              </w:rPr>
            </w:pPr>
          </w:p>
        </w:tc>
        <w:tc>
          <w:tcPr>
            <w:tcW w:w="357" w:type="pct"/>
            <w:shd w:val="clear" w:color="auto" w:fill="auto"/>
            <w:vAlign w:val="center"/>
          </w:tcPr>
          <w:p>
            <w:pPr>
              <w:jc w:val="center"/>
              <w:rPr>
                <w:rFonts w:ascii="宋体" w:hAnsi="宋体" w:eastAsia="宋体" w:cs="宋体"/>
                <w:sz w:val="18"/>
                <w:szCs w:val="18"/>
              </w:rPr>
            </w:pPr>
          </w:p>
        </w:tc>
        <w:tc>
          <w:tcPr>
            <w:tcW w:w="357" w:type="pct"/>
            <w:shd w:val="clear" w:color="auto" w:fill="auto"/>
            <w:vAlign w:val="center"/>
          </w:tcPr>
          <w:p>
            <w:pPr>
              <w:jc w:val="center"/>
              <w:rPr>
                <w:rFonts w:ascii="宋体" w:hAnsi="宋体" w:eastAsia="宋体" w:cs="宋体"/>
                <w:sz w:val="18"/>
                <w:szCs w:val="18"/>
              </w:rPr>
            </w:pPr>
          </w:p>
        </w:tc>
        <w:tc>
          <w:tcPr>
            <w:tcW w:w="357" w:type="pct"/>
            <w:shd w:val="clear" w:color="auto" w:fill="auto"/>
            <w:vAlign w:val="center"/>
          </w:tcPr>
          <w:p>
            <w:pPr>
              <w:jc w:val="center"/>
              <w:rPr>
                <w:rFonts w:ascii="宋体" w:hAnsi="宋体" w:eastAsia="宋体" w:cs="宋体"/>
                <w:sz w:val="18"/>
                <w:szCs w:val="18"/>
              </w:rPr>
            </w:pPr>
          </w:p>
        </w:tc>
        <w:tc>
          <w:tcPr>
            <w:tcW w:w="357" w:type="pct"/>
            <w:shd w:val="clear" w:color="auto" w:fill="auto"/>
            <w:vAlign w:val="center"/>
          </w:tcPr>
          <w:p>
            <w:pPr>
              <w:jc w:val="center"/>
              <w:rPr>
                <w:rFonts w:ascii="宋体" w:hAnsi="宋体" w:eastAsia="宋体" w:cs="宋体"/>
                <w:sz w:val="18"/>
                <w:szCs w:val="18"/>
              </w:rPr>
            </w:pPr>
          </w:p>
        </w:tc>
        <w:tc>
          <w:tcPr>
            <w:tcW w:w="357" w:type="pct"/>
            <w:shd w:val="clear" w:color="auto" w:fill="auto"/>
            <w:vAlign w:val="center"/>
          </w:tcPr>
          <w:p>
            <w:pPr>
              <w:jc w:val="center"/>
              <w:rPr>
                <w:rFonts w:ascii="宋体" w:hAnsi="宋体" w:eastAsia="宋体" w:cs="宋体"/>
                <w:sz w:val="18"/>
                <w:szCs w:val="18"/>
              </w:rPr>
            </w:pPr>
          </w:p>
        </w:tc>
      </w:tr>
    </w:tbl>
    <w:p>
      <w:pPr>
        <w:pStyle w:val="4"/>
        <w:rPr>
          <w:lang w:bidi="ar"/>
        </w:rPr>
      </w:pPr>
    </w:p>
    <w:sectPr>
      <w:pgSz w:w="16838" w:h="11906" w:orient="landscape"/>
      <w:pgMar w:top="1587" w:right="2098" w:bottom="1474" w:left="1984" w:header="851" w:footer="992" w:gutter="0"/>
      <w:pgNumType w:fmt="numberInDash" w:start="1"/>
      <w:cols w:space="0" w:num="1"/>
      <w:docGrid w:type="lines" w:linePitch="318"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华文宋体">
    <w:panose1 w:val="02010600040101010101"/>
    <w:charset w:val="86"/>
    <w:family w:val="auto"/>
    <w:pitch w:val="default"/>
    <w:sig w:usb0="00000287" w:usb1="080F0000" w:usb2="00000000" w:usb3="00000000" w:csb0="0004009F" w:csb1="DFD70000"/>
  </w:font>
  <w:font w:name="方正小标宋简体">
    <w:panose1 w:val="02010601030101010101"/>
    <w:charset w:val="86"/>
    <w:family w:val="script"/>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38797462"/>
    </w:sdtPr>
    <w:sdtContent>
      <w:p>
        <w:pPr>
          <w:pStyle w:val="6"/>
          <w:jc w:val="center"/>
        </w:pPr>
        <w:r>
          <w:fldChar w:fldCharType="begin"/>
        </w:r>
        <w:r>
          <w:instrText xml:space="preserve">PAGE   \* MERGEFORMAT</w:instrText>
        </w:r>
        <w:r>
          <w:fldChar w:fldCharType="separate"/>
        </w:r>
        <w:r>
          <w:rPr>
            <w:lang w:val="zh-CN"/>
          </w:rPr>
          <w:t>-</w:t>
        </w:r>
        <w:r>
          <w:t xml:space="preserve"> 28 -</w:t>
        </w:r>
        <w:r>
          <w:fldChar w:fldCharType="end"/>
        </w:r>
      </w:p>
    </w:sdtContent>
  </w:sdt>
  <w:p>
    <w:pPr>
      <w:pStyle w:val="6"/>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C91163"/>
    <w:multiLevelType w:val="multilevel"/>
    <w:tmpl w:val="1FC91163"/>
    <w:lvl w:ilvl="0" w:tentative="0">
      <w:start w:val="1"/>
      <w:numFmt w:val="decimal"/>
      <w:suff w:val="nothing"/>
      <w:lvlText w:val="%1　"/>
      <w:lvlJc w:val="left"/>
      <w:pPr>
        <w:ind w:left="0" w:firstLine="0"/>
      </w:pPr>
      <w:rPr>
        <w:rFonts w:hint="eastAsia" w:ascii="黑体" w:hAnsi="Times New Roman" w:eastAsia="黑体"/>
        <w:b w:val="0"/>
        <w:i w:val="0"/>
        <w:sz w:val="21"/>
        <w:szCs w:val="21"/>
      </w:rPr>
    </w:lvl>
    <w:lvl w:ilvl="1" w:tentative="0">
      <w:start w:val="1"/>
      <w:numFmt w:val="decimal"/>
      <w:pStyle w:val="18"/>
      <w:suff w:val="nothing"/>
      <w:lvlText w:val="%1.%2　"/>
      <w:lvlJc w:val="left"/>
      <w:pPr>
        <w:ind w:left="0" w:firstLine="0"/>
      </w:pPr>
      <w:rPr>
        <w:rFonts w:hint="eastAsia" w:ascii="黑体" w:hAnsi="Times New Roman" w:eastAsia="黑体" w:cs="Times New Roman"/>
        <w:b w:val="0"/>
        <w:bCs w:val="0"/>
        <w:i w:val="0"/>
        <w:iCs w:val="0"/>
        <w:caps w:val="0"/>
        <w:strike w:val="0"/>
        <w:dstrike w:val="0"/>
        <w:vanish w:val="0"/>
        <w:spacing w:val="0"/>
        <w:kern w:val="0"/>
        <w:position w:val="0"/>
        <w:sz w:val="21"/>
        <w:szCs w:val="21"/>
        <w:u w:val="none"/>
        <w:vertAlign w:val="baseline"/>
      </w:rPr>
    </w:lvl>
    <w:lvl w:ilvl="2" w:tentative="0">
      <w:start w:val="1"/>
      <w:numFmt w:val="decimal"/>
      <w:pStyle w:val="20"/>
      <w:suff w:val="nothing"/>
      <w:lvlText w:val="%1.%2.%3　"/>
      <w:lvlJc w:val="left"/>
      <w:pPr>
        <w:ind w:left="567" w:firstLine="0"/>
      </w:pPr>
      <w:rPr>
        <w:rFonts w:hint="eastAsia" w:ascii="黑体" w:hAnsi="Times New Roman" w:eastAsia="黑体"/>
        <w:b w:val="0"/>
        <w:i w:val="0"/>
        <w:sz w:val="21"/>
      </w:rPr>
    </w:lvl>
    <w:lvl w:ilvl="3" w:tentative="0">
      <w:start w:val="1"/>
      <w:numFmt w:val="decimal"/>
      <w:suff w:val="nothing"/>
      <w:lvlText w:val="%1.%2.%3.%4　"/>
      <w:lvlJc w:val="left"/>
      <w:pPr>
        <w:ind w:left="709" w:firstLine="0"/>
      </w:pPr>
      <w:rPr>
        <w:rFonts w:hint="eastAsia" w:ascii="黑体" w:hAnsi="Times New Roman" w:eastAsia="黑体"/>
        <w:b w:val="0"/>
        <w:i w:val="0"/>
        <w:sz w:val="21"/>
      </w:rPr>
    </w:lvl>
    <w:lvl w:ilvl="4" w:tentative="0">
      <w:start w:val="1"/>
      <w:numFmt w:val="decimal"/>
      <w:suff w:val="nothing"/>
      <w:lvlText w:val="%1.%2.%3.%4.%5　"/>
      <w:lvlJc w:val="left"/>
      <w:pPr>
        <w:ind w:left="0" w:firstLine="0"/>
      </w:pPr>
      <w:rPr>
        <w:rFonts w:hint="eastAsia" w:ascii="黑体" w:hAnsi="Times New Roman" w:eastAsia="黑体"/>
        <w:b w:val="0"/>
        <w:i w:val="0"/>
        <w:sz w:val="21"/>
      </w:rPr>
    </w:lvl>
    <w:lvl w:ilvl="5" w:tentative="0">
      <w:start w:val="1"/>
      <w:numFmt w:val="decimal"/>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1">
    <w:nsid w:val="2B5766B4"/>
    <w:multiLevelType w:val="singleLevel"/>
    <w:tmpl w:val="2B5766B4"/>
    <w:lvl w:ilvl="0" w:tentative="0">
      <w:start w:val="1"/>
      <w:numFmt w:val="chineseCounting"/>
      <w:suff w:val="nothing"/>
      <w:lvlText w:val="%1、"/>
      <w:lvlJc w:val="left"/>
      <w:rPr>
        <w:rFonts w:hint="eastAsia"/>
      </w:rPr>
    </w:lvl>
  </w:abstractNum>
  <w:abstractNum w:abstractNumId="2">
    <w:nsid w:val="6793B95C"/>
    <w:multiLevelType w:val="singleLevel"/>
    <w:tmpl w:val="6793B95C"/>
    <w:lvl w:ilvl="0" w:tentative="0">
      <w:start w:val="1"/>
      <w:numFmt w:val="decimal"/>
      <w:lvlText w:val="%1."/>
      <w:lvlJc w:val="left"/>
      <w:pPr>
        <w:tabs>
          <w:tab w:val="left" w:pos="312"/>
        </w:tabs>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trackRevisions w:val="1"/>
  <w:documentProtection w:edit="trackedChanges" w:enforcement="0"/>
  <w:defaultTabStop w:val="420"/>
  <w:drawingGridVerticalSpacing w:val="159"/>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M3MTAxZTY4Y2Y3NDUxNzFlOGZjNjIwM2IzNTA4YWMifQ=="/>
    <w:docVar w:name="KSO_WPS_MARK_KEY" w:val="ce70e482-7c66-4009-af26-e8f7c3d17af0"/>
  </w:docVars>
  <w:rsids>
    <w:rsidRoot w:val="00E633E5"/>
    <w:rsid w:val="000864FF"/>
    <w:rsid w:val="000D236D"/>
    <w:rsid w:val="000D78AC"/>
    <w:rsid w:val="000E00B5"/>
    <w:rsid w:val="000E3F88"/>
    <w:rsid w:val="000F7942"/>
    <w:rsid w:val="001070BA"/>
    <w:rsid w:val="0016527F"/>
    <w:rsid w:val="00175E6E"/>
    <w:rsid w:val="001A75E4"/>
    <w:rsid w:val="001B19E1"/>
    <w:rsid w:val="001D3770"/>
    <w:rsid w:val="001E5BBD"/>
    <w:rsid w:val="00202293"/>
    <w:rsid w:val="00216B51"/>
    <w:rsid w:val="00221740"/>
    <w:rsid w:val="00242EF4"/>
    <w:rsid w:val="00267B34"/>
    <w:rsid w:val="0028783C"/>
    <w:rsid w:val="002B3ADF"/>
    <w:rsid w:val="002C2F0F"/>
    <w:rsid w:val="002E3130"/>
    <w:rsid w:val="00304996"/>
    <w:rsid w:val="00305827"/>
    <w:rsid w:val="00325026"/>
    <w:rsid w:val="00366996"/>
    <w:rsid w:val="003A783D"/>
    <w:rsid w:val="003B4CB1"/>
    <w:rsid w:val="003B6952"/>
    <w:rsid w:val="00410E09"/>
    <w:rsid w:val="00485D3E"/>
    <w:rsid w:val="004F7317"/>
    <w:rsid w:val="005302E1"/>
    <w:rsid w:val="00594B2D"/>
    <w:rsid w:val="005C7BFF"/>
    <w:rsid w:val="00633E42"/>
    <w:rsid w:val="00665457"/>
    <w:rsid w:val="006757E1"/>
    <w:rsid w:val="006A639B"/>
    <w:rsid w:val="006A7CA3"/>
    <w:rsid w:val="006B4874"/>
    <w:rsid w:val="006B7ED7"/>
    <w:rsid w:val="006C215D"/>
    <w:rsid w:val="0074130B"/>
    <w:rsid w:val="00744E22"/>
    <w:rsid w:val="00750733"/>
    <w:rsid w:val="00775D00"/>
    <w:rsid w:val="00783648"/>
    <w:rsid w:val="008006D0"/>
    <w:rsid w:val="0080533E"/>
    <w:rsid w:val="008077F4"/>
    <w:rsid w:val="00872AB4"/>
    <w:rsid w:val="008C434E"/>
    <w:rsid w:val="008C6A96"/>
    <w:rsid w:val="008E2984"/>
    <w:rsid w:val="008F7608"/>
    <w:rsid w:val="00967AAA"/>
    <w:rsid w:val="0097295C"/>
    <w:rsid w:val="00977464"/>
    <w:rsid w:val="009F21C0"/>
    <w:rsid w:val="009F3C40"/>
    <w:rsid w:val="00A018C7"/>
    <w:rsid w:val="00A204FC"/>
    <w:rsid w:val="00A24F66"/>
    <w:rsid w:val="00A45981"/>
    <w:rsid w:val="00AC5E01"/>
    <w:rsid w:val="00AF4528"/>
    <w:rsid w:val="00B146B2"/>
    <w:rsid w:val="00B1594A"/>
    <w:rsid w:val="00B21681"/>
    <w:rsid w:val="00B35DDA"/>
    <w:rsid w:val="00B63CE2"/>
    <w:rsid w:val="00B7694A"/>
    <w:rsid w:val="00B856AB"/>
    <w:rsid w:val="00B85BFC"/>
    <w:rsid w:val="00BD5502"/>
    <w:rsid w:val="00C109CC"/>
    <w:rsid w:val="00C12DE3"/>
    <w:rsid w:val="00C23607"/>
    <w:rsid w:val="00C7709D"/>
    <w:rsid w:val="00C8613D"/>
    <w:rsid w:val="00CA300D"/>
    <w:rsid w:val="00CA63F7"/>
    <w:rsid w:val="00CE7B6F"/>
    <w:rsid w:val="00CF2438"/>
    <w:rsid w:val="00D040C0"/>
    <w:rsid w:val="00D04720"/>
    <w:rsid w:val="00D056F7"/>
    <w:rsid w:val="00D232B0"/>
    <w:rsid w:val="00DD454B"/>
    <w:rsid w:val="00E633E5"/>
    <w:rsid w:val="00E76905"/>
    <w:rsid w:val="00EB2735"/>
    <w:rsid w:val="00EE045E"/>
    <w:rsid w:val="00EF64B7"/>
    <w:rsid w:val="00F0378C"/>
    <w:rsid w:val="00F62AAA"/>
    <w:rsid w:val="00FB0F7B"/>
    <w:rsid w:val="00FB37AF"/>
    <w:rsid w:val="00FC7F84"/>
    <w:rsid w:val="00FD7683"/>
    <w:rsid w:val="01422176"/>
    <w:rsid w:val="016336BA"/>
    <w:rsid w:val="0169345C"/>
    <w:rsid w:val="022E1D78"/>
    <w:rsid w:val="027163FA"/>
    <w:rsid w:val="02924A37"/>
    <w:rsid w:val="02DF39F5"/>
    <w:rsid w:val="02F92D08"/>
    <w:rsid w:val="03B36771"/>
    <w:rsid w:val="041F054D"/>
    <w:rsid w:val="047947E2"/>
    <w:rsid w:val="054B4FFB"/>
    <w:rsid w:val="05590BE0"/>
    <w:rsid w:val="05E20EEA"/>
    <w:rsid w:val="060E5076"/>
    <w:rsid w:val="07AA56C7"/>
    <w:rsid w:val="07EE4CDC"/>
    <w:rsid w:val="07F95C03"/>
    <w:rsid w:val="082929D5"/>
    <w:rsid w:val="095E57ED"/>
    <w:rsid w:val="096334B0"/>
    <w:rsid w:val="09D92A07"/>
    <w:rsid w:val="0A8514C5"/>
    <w:rsid w:val="0AB063A2"/>
    <w:rsid w:val="0ABD0ABF"/>
    <w:rsid w:val="0AC46C3B"/>
    <w:rsid w:val="0B016BFE"/>
    <w:rsid w:val="0BCB162D"/>
    <w:rsid w:val="0BDC664A"/>
    <w:rsid w:val="0C3A150D"/>
    <w:rsid w:val="0C523489"/>
    <w:rsid w:val="0D3037CB"/>
    <w:rsid w:val="0D57471C"/>
    <w:rsid w:val="0D66080A"/>
    <w:rsid w:val="0E530335"/>
    <w:rsid w:val="0E795540"/>
    <w:rsid w:val="0EF1091E"/>
    <w:rsid w:val="0FB63A80"/>
    <w:rsid w:val="101069DE"/>
    <w:rsid w:val="1021564D"/>
    <w:rsid w:val="10AD6EE0"/>
    <w:rsid w:val="1142587A"/>
    <w:rsid w:val="11B52691"/>
    <w:rsid w:val="11D566EF"/>
    <w:rsid w:val="122C43D6"/>
    <w:rsid w:val="124D7B70"/>
    <w:rsid w:val="126D2DCB"/>
    <w:rsid w:val="12C95F72"/>
    <w:rsid w:val="12E85B8D"/>
    <w:rsid w:val="13165211"/>
    <w:rsid w:val="13341A10"/>
    <w:rsid w:val="136355F0"/>
    <w:rsid w:val="13906D9B"/>
    <w:rsid w:val="14164A66"/>
    <w:rsid w:val="1449562A"/>
    <w:rsid w:val="154B62BC"/>
    <w:rsid w:val="164E0074"/>
    <w:rsid w:val="16966F13"/>
    <w:rsid w:val="173E0876"/>
    <w:rsid w:val="17664E92"/>
    <w:rsid w:val="17B827C3"/>
    <w:rsid w:val="17BB6E37"/>
    <w:rsid w:val="17C3523B"/>
    <w:rsid w:val="17DB4333"/>
    <w:rsid w:val="17E4654A"/>
    <w:rsid w:val="17F23415"/>
    <w:rsid w:val="184931FC"/>
    <w:rsid w:val="189A2440"/>
    <w:rsid w:val="18B645DD"/>
    <w:rsid w:val="194C291F"/>
    <w:rsid w:val="19B852A7"/>
    <w:rsid w:val="19C956FC"/>
    <w:rsid w:val="1A336456"/>
    <w:rsid w:val="1A58493D"/>
    <w:rsid w:val="1A7D224D"/>
    <w:rsid w:val="1B1C713C"/>
    <w:rsid w:val="1C1D46FC"/>
    <w:rsid w:val="1C60574F"/>
    <w:rsid w:val="1CE95744"/>
    <w:rsid w:val="1D085BCA"/>
    <w:rsid w:val="1D4806BC"/>
    <w:rsid w:val="1ECD252F"/>
    <w:rsid w:val="1F130856"/>
    <w:rsid w:val="200B2296"/>
    <w:rsid w:val="200B4C2D"/>
    <w:rsid w:val="20932C2C"/>
    <w:rsid w:val="20E97E0E"/>
    <w:rsid w:val="215429EE"/>
    <w:rsid w:val="22121985"/>
    <w:rsid w:val="232B24E4"/>
    <w:rsid w:val="232E59A5"/>
    <w:rsid w:val="23892954"/>
    <w:rsid w:val="2509761D"/>
    <w:rsid w:val="25B424BD"/>
    <w:rsid w:val="262F66EE"/>
    <w:rsid w:val="264E0D8C"/>
    <w:rsid w:val="26593D84"/>
    <w:rsid w:val="26A676D6"/>
    <w:rsid w:val="26F70A5D"/>
    <w:rsid w:val="27900218"/>
    <w:rsid w:val="282154D5"/>
    <w:rsid w:val="285A3BEB"/>
    <w:rsid w:val="28A30E9D"/>
    <w:rsid w:val="29251AE4"/>
    <w:rsid w:val="293164A9"/>
    <w:rsid w:val="294A441A"/>
    <w:rsid w:val="295403E9"/>
    <w:rsid w:val="2A21651D"/>
    <w:rsid w:val="2A524FC5"/>
    <w:rsid w:val="2B0A6F32"/>
    <w:rsid w:val="2B457FE9"/>
    <w:rsid w:val="2B7155DC"/>
    <w:rsid w:val="2BD355F5"/>
    <w:rsid w:val="2BE825D9"/>
    <w:rsid w:val="2C514AC2"/>
    <w:rsid w:val="2C792640"/>
    <w:rsid w:val="2C871C2A"/>
    <w:rsid w:val="2D49102A"/>
    <w:rsid w:val="2D6343E4"/>
    <w:rsid w:val="2D8A14DA"/>
    <w:rsid w:val="2E122DB1"/>
    <w:rsid w:val="2E2E544A"/>
    <w:rsid w:val="2E7F3812"/>
    <w:rsid w:val="2F43207E"/>
    <w:rsid w:val="305B205D"/>
    <w:rsid w:val="30927740"/>
    <w:rsid w:val="31212366"/>
    <w:rsid w:val="31FE4B05"/>
    <w:rsid w:val="32210F0C"/>
    <w:rsid w:val="323620B5"/>
    <w:rsid w:val="32751C67"/>
    <w:rsid w:val="32DB0CFC"/>
    <w:rsid w:val="33042538"/>
    <w:rsid w:val="333E672D"/>
    <w:rsid w:val="33655984"/>
    <w:rsid w:val="33CA5530"/>
    <w:rsid w:val="342B6450"/>
    <w:rsid w:val="343F4029"/>
    <w:rsid w:val="34A043AB"/>
    <w:rsid w:val="35161B4B"/>
    <w:rsid w:val="35635C3C"/>
    <w:rsid w:val="35683252"/>
    <w:rsid w:val="35847960"/>
    <w:rsid w:val="35857E9B"/>
    <w:rsid w:val="359B0ED2"/>
    <w:rsid w:val="35BA020A"/>
    <w:rsid w:val="36624145"/>
    <w:rsid w:val="3699256D"/>
    <w:rsid w:val="37307E24"/>
    <w:rsid w:val="374B22EE"/>
    <w:rsid w:val="377055E6"/>
    <w:rsid w:val="38330D03"/>
    <w:rsid w:val="38AD5420"/>
    <w:rsid w:val="38CB24F7"/>
    <w:rsid w:val="397F696B"/>
    <w:rsid w:val="39902888"/>
    <w:rsid w:val="3A865CF2"/>
    <w:rsid w:val="3A8D76E9"/>
    <w:rsid w:val="3C0923EC"/>
    <w:rsid w:val="3C453B0F"/>
    <w:rsid w:val="3C646ED6"/>
    <w:rsid w:val="3C684834"/>
    <w:rsid w:val="3C795D45"/>
    <w:rsid w:val="3DD66723"/>
    <w:rsid w:val="3E2567AB"/>
    <w:rsid w:val="3E7762B4"/>
    <w:rsid w:val="3EAF79F7"/>
    <w:rsid w:val="3F225840"/>
    <w:rsid w:val="3F3E5024"/>
    <w:rsid w:val="3F485EA2"/>
    <w:rsid w:val="3F9F0C57"/>
    <w:rsid w:val="41890CCA"/>
    <w:rsid w:val="41D57EC1"/>
    <w:rsid w:val="41D60D6F"/>
    <w:rsid w:val="42114C71"/>
    <w:rsid w:val="42A821E2"/>
    <w:rsid w:val="42D72283"/>
    <w:rsid w:val="430B4E38"/>
    <w:rsid w:val="43304177"/>
    <w:rsid w:val="43761B25"/>
    <w:rsid w:val="43AF029E"/>
    <w:rsid w:val="44B86884"/>
    <w:rsid w:val="44DF2E05"/>
    <w:rsid w:val="45FA56AB"/>
    <w:rsid w:val="4659789B"/>
    <w:rsid w:val="468B2836"/>
    <w:rsid w:val="46DD15C6"/>
    <w:rsid w:val="473A07C7"/>
    <w:rsid w:val="475636EA"/>
    <w:rsid w:val="47794E4B"/>
    <w:rsid w:val="47C6586A"/>
    <w:rsid w:val="47E50732"/>
    <w:rsid w:val="48162BCE"/>
    <w:rsid w:val="48F5004E"/>
    <w:rsid w:val="493A0F8E"/>
    <w:rsid w:val="49896EFE"/>
    <w:rsid w:val="49B16F37"/>
    <w:rsid w:val="49B50C7D"/>
    <w:rsid w:val="4A677B24"/>
    <w:rsid w:val="4B094A7F"/>
    <w:rsid w:val="4B3449D9"/>
    <w:rsid w:val="4B5D7381"/>
    <w:rsid w:val="4C5B58C6"/>
    <w:rsid w:val="4D540FFF"/>
    <w:rsid w:val="4DF06083"/>
    <w:rsid w:val="4EA05989"/>
    <w:rsid w:val="4F1E7AF1"/>
    <w:rsid w:val="4F336E7E"/>
    <w:rsid w:val="4F770FEB"/>
    <w:rsid w:val="4FC02BF8"/>
    <w:rsid w:val="50784012"/>
    <w:rsid w:val="50E87972"/>
    <w:rsid w:val="51AC10AC"/>
    <w:rsid w:val="520832A7"/>
    <w:rsid w:val="521F0CE5"/>
    <w:rsid w:val="531E30A1"/>
    <w:rsid w:val="548422DB"/>
    <w:rsid w:val="54A61249"/>
    <w:rsid w:val="54FF095A"/>
    <w:rsid w:val="552E7D59"/>
    <w:rsid w:val="55857DA4"/>
    <w:rsid w:val="56821842"/>
    <w:rsid w:val="56941CA1"/>
    <w:rsid w:val="56FF02F1"/>
    <w:rsid w:val="570C5E2C"/>
    <w:rsid w:val="57146F37"/>
    <w:rsid w:val="571E22C9"/>
    <w:rsid w:val="57544F8D"/>
    <w:rsid w:val="57CA7855"/>
    <w:rsid w:val="57F6094E"/>
    <w:rsid w:val="58291E0C"/>
    <w:rsid w:val="585B03BE"/>
    <w:rsid w:val="585E3508"/>
    <w:rsid w:val="585F3C24"/>
    <w:rsid w:val="58AE691E"/>
    <w:rsid w:val="58FF2336"/>
    <w:rsid w:val="590472CF"/>
    <w:rsid w:val="598B1DEB"/>
    <w:rsid w:val="59AC2A86"/>
    <w:rsid w:val="5A5F4BD2"/>
    <w:rsid w:val="5A7240FC"/>
    <w:rsid w:val="5AE53573"/>
    <w:rsid w:val="5B133E5B"/>
    <w:rsid w:val="5C401F83"/>
    <w:rsid w:val="5CA95D7B"/>
    <w:rsid w:val="5D1C26B0"/>
    <w:rsid w:val="5D207A0D"/>
    <w:rsid w:val="5D283143"/>
    <w:rsid w:val="5D4C0029"/>
    <w:rsid w:val="5DF6027F"/>
    <w:rsid w:val="5E0F44D9"/>
    <w:rsid w:val="5E266042"/>
    <w:rsid w:val="5E651898"/>
    <w:rsid w:val="5E765230"/>
    <w:rsid w:val="5ED470AF"/>
    <w:rsid w:val="5F2E6A0B"/>
    <w:rsid w:val="5F346D8B"/>
    <w:rsid w:val="5F46249D"/>
    <w:rsid w:val="5FCE1831"/>
    <w:rsid w:val="60504273"/>
    <w:rsid w:val="60DB5E10"/>
    <w:rsid w:val="6113096B"/>
    <w:rsid w:val="61255DF4"/>
    <w:rsid w:val="61357BDD"/>
    <w:rsid w:val="61A60ADB"/>
    <w:rsid w:val="6229110B"/>
    <w:rsid w:val="63033D4B"/>
    <w:rsid w:val="633914DA"/>
    <w:rsid w:val="63805C53"/>
    <w:rsid w:val="63870498"/>
    <w:rsid w:val="644667D7"/>
    <w:rsid w:val="64474E68"/>
    <w:rsid w:val="65206DF6"/>
    <w:rsid w:val="655C4ADB"/>
    <w:rsid w:val="667D7B98"/>
    <w:rsid w:val="66C20165"/>
    <w:rsid w:val="67310E46"/>
    <w:rsid w:val="67413482"/>
    <w:rsid w:val="67AE2FD5"/>
    <w:rsid w:val="67D000E4"/>
    <w:rsid w:val="67E97B5B"/>
    <w:rsid w:val="68580392"/>
    <w:rsid w:val="68E97BD4"/>
    <w:rsid w:val="69110F2F"/>
    <w:rsid w:val="696D6FE1"/>
    <w:rsid w:val="69DB059E"/>
    <w:rsid w:val="69DB7E64"/>
    <w:rsid w:val="6AA34D07"/>
    <w:rsid w:val="6AAA3D35"/>
    <w:rsid w:val="6AFF0DAE"/>
    <w:rsid w:val="6B057E91"/>
    <w:rsid w:val="6C024515"/>
    <w:rsid w:val="6C3F7B62"/>
    <w:rsid w:val="6CC07863"/>
    <w:rsid w:val="6CFC6BA9"/>
    <w:rsid w:val="6DBA3B48"/>
    <w:rsid w:val="6E6C4E5A"/>
    <w:rsid w:val="6EF54557"/>
    <w:rsid w:val="6FBC6F0A"/>
    <w:rsid w:val="700B56B4"/>
    <w:rsid w:val="704C0C03"/>
    <w:rsid w:val="707968E6"/>
    <w:rsid w:val="70FF45F1"/>
    <w:rsid w:val="71341C5F"/>
    <w:rsid w:val="71423214"/>
    <w:rsid w:val="72255A4C"/>
    <w:rsid w:val="724F71A4"/>
    <w:rsid w:val="72676168"/>
    <w:rsid w:val="738C756E"/>
    <w:rsid w:val="73C6389E"/>
    <w:rsid w:val="74324450"/>
    <w:rsid w:val="74333B3B"/>
    <w:rsid w:val="744E570D"/>
    <w:rsid w:val="74EC4E23"/>
    <w:rsid w:val="750B1B93"/>
    <w:rsid w:val="751853F4"/>
    <w:rsid w:val="7576507B"/>
    <w:rsid w:val="75BC0475"/>
    <w:rsid w:val="768C6926"/>
    <w:rsid w:val="77097671"/>
    <w:rsid w:val="776A7C47"/>
    <w:rsid w:val="7825727D"/>
    <w:rsid w:val="78282C82"/>
    <w:rsid w:val="78743289"/>
    <w:rsid w:val="79A2115F"/>
    <w:rsid w:val="79BC4EE7"/>
    <w:rsid w:val="7A28590B"/>
    <w:rsid w:val="7ADE043D"/>
    <w:rsid w:val="7B62386D"/>
    <w:rsid w:val="7B65510B"/>
    <w:rsid w:val="7BF83CC2"/>
    <w:rsid w:val="7C2E19A1"/>
    <w:rsid w:val="7C7A6994"/>
    <w:rsid w:val="7D6513F2"/>
    <w:rsid w:val="7D923F48"/>
    <w:rsid w:val="7D992C16"/>
    <w:rsid w:val="7DA12BBE"/>
    <w:rsid w:val="7DD1503A"/>
    <w:rsid w:val="7E521976"/>
    <w:rsid w:val="7E6F3EA2"/>
    <w:rsid w:val="7E97382D"/>
    <w:rsid w:val="7EAE1A5B"/>
    <w:rsid w:val="F5F94521"/>
    <w:rsid w:val="FEBF3B6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line="560" w:lineRule="exact"/>
      <w:ind w:firstLine="1040" w:firstLineChars="200"/>
      <w:outlineLvl w:val="0"/>
    </w:pPr>
    <w:rPr>
      <w:rFonts w:eastAsia="仿宋_GB2312"/>
      <w:b/>
      <w:kern w:val="44"/>
      <w:sz w:val="32"/>
    </w:rPr>
  </w:style>
  <w:style w:type="character" w:default="1" w:styleId="12">
    <w:name w:val="Default Paragraph Font"/>
    <w:semiHidden/>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3">
    <w:name w:val="annotation text"/>
    <w:basedOn w:val="1"/>
    <w:link w:val="26"/>
    <w:qFormat/>
    <w:uiPriority w:val="0"/>
    <w:pPr>
      <w:jc w:val="left"/>
    </w:pPr>
  </w:style>
  <w:style w:type="paragraph" w:styleId="4">
    <w:name w:val="Body Text"/>
    <w:basedOn w:val="1"/>
    <w:unhideWhenUsed/>
    <w:qFormat/>
    <w:uiPriority w:val="99"/>
    <w:pPr>
      <w:spacing w:after="120"/>
    </w:pPr>
  </w:style>
  <w:style w:type="paragraph" w:styleId="5">
    <w:name w:val="Balloon Text"/>
    <w:basedOn w:val="1"/>
    <w:link w:val="24"/>
    <w:qFormat/>
    <w:uiPriority w:val="0"/>
    <w:rPr>
      <w:sz w:val="18"/>
      <w:szCs w:val="18"/>
    </w:rPr>
  </w:style>
  <w:style w:type="paragraph" w:styleId="6">
    <w:name w:val="footer"/>
    <w:basedOn w:val="1"/>
    <w:link w:val="25"/>
    <w:qFormat/>
    <w:uiPriority w:val="99"/>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8">
    <w:name w:val="Normal (Web)"/>
    <w:basedOn w:val="1"/>
    <w:qFormat/>
    <w:uiPriority w:val="0"/>
    <w:pPr>
      <w:spacing w:beforeAutospacing="1" w:afterAutospacing="1"/>
      <w:jc w:val="left"/>
    </w:pPr>
    <w:rPr>
      <w:rFonts w:cs="Times New Roman"/>
      <w:kern w:val="0"/>
      <w:sz w:val="24"/>
    </w:rPr>
  </w:style>
  <w:style w:type="paragraph" w:styleId="9">
    <w:name w:val="annotation subject"/>
    <w:basedOn w:val="3"/>
    <w:next w:val="3"/>
    <w:link w:val="27"/>
    <w:qFormat/>
    <w:uiPriority w:val="0"/>
    <w:rPr>
      <w:b/>
      <w:bCs/>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Emphasis"/>
    <w:basedOn w:val="12"/>
    <w:qFormat/>
    <w:uiPriority w:val="0"/>
    <w:rPr>
      <w:i/>
    </w:rPr>
  </w:style>
  <w:style w:type="character" w:styleId="14">
    <w:name w:val="Hyperlink"/>
    <w:basedOn w:val="12"/>
    <w:qFormat/>
    <w:uiPriority w:val="0"/>
    <w:rPr>
      <w:color w:val="0000FF"/>
      <w:u w:val="single"/>
    </w:rPr>
  </w:style>
  <w:style w:type="character" w:styleId="15">
    <w:name w:val="annotation reference"/>
    <w:basedOn w:val="12"/>
    <w:qFormat/>
    <w:uiPriority w:val="0"/>
    <w:rPr>
      <w:sz w:val="21"/>
      <w:szCs w:val="21"/>
    </w:rPr>
  </w:style>
  <w:style w:type="paragraph" w:customStyle="1" w:styleId="16">
    <w:name w:val="列出段落1"/>
    <w:basedOn w:val="1"/>
    <w:qFormat/>
    <w:uiPriority w:val="34"/>
    <w:pPr>
      <w:ind w:firstLine="420" w:firstLineChars="200"/>
    </w:pPr>
  </w:style>
  <w:style w:type="paragraph" w:customStyle="1" w:styleId="17">
    <w:name w:val="段"/>
    <w:qFormat/>
    <w:uiPriority w:val="0"/>
    <w:pPr>
      <w:tabs>
        <w:tab w:val="center" w:pos="4201"/>
        <w:tab w:val="right" w:leader="dot" w:pos="9298"/>
      </w:tabs>
      <w:autoSpaceDE w:val="0"/>
      <w:autoSpaceDN w:val="0"/>
      <w:ind w:firstLine="420" w:firstLineChars="200"/>
      <w:jc w:val="both"/>
    </w:pPr>
    <w:rPr>
      <w:rFonts w:ascii="宋体" w:hAnsi="Times New Roman" w:eastAsia="宋体" w:cs="Times New Roman"/>
      <w:sz w:val="21"/>
      <w:lang w:val="en-US" w:eastAsia="zh-CN" w:bidi="ar-SA"/>
    </w:rPr>
  </w:style>
  <w:style w:type="paragraph" w:customStyle="1" w:styleId="18">
    <w:name w:val="一级条标题"/>
    <w:next w:val="17"/>
    <w:qFormat/>
    <w:uiPriority w:val="0"/>
    <w:pPr>
      <w:numPr>
        <w:ilvl w:val="1"/>
        <w:numId w:val="1"/>
      </w:numPr>
      <w:spacing w:before="156" w:beforeLines="50" w:after="156" w:afterLines="50"/>
      <w:outlineLvl w:val="2"/>
    </w:pPr>
    <w:rPr>
      <w:rFonts w:ascii="黑体" w:hAnsi="Times New Roman" w:eastAsia="黑体" w:cs="Times New Roman"/>
      <w:sz w:val="21"/>
      <w:szCs w:val="21"/>
      <w:lang w:val="en-US" w:eastAsia="zh-CN" w:bidi="ar-SA"/>
    </w:rPr>
  </w:style>
  <w:style w:type="paragraph" w:customStyle="1" w:styleId="19">
    <w:name w:val="二级无"/>
    <w:basedOn w:val="20"/>
    <w:qFormat/>
    <w:uiPriority w:val="0"/>
    <w:pPr>
      <w:spacing w:before="0" w:beforeLines="0" w:after="0" w:afterLines="0"/>
    </w:pPr>
    <w:rPr>
      <w:rFonts w:ascii="宋体" w:eastAsia="宋体"/>
    </w:rPr>
  </w:style>
  <w:style w:type="paragraph" w:customStyle="1" w:styleId="20">
    <w:name w:val="二级条标题"/>
    <w:basedOn w:val="18"/>
    <w:next w:val="17"/>
    <w:qFormat/>
    <w:uiPriority w:val="0"/>
    <w:pPr>
      <w:numPr>
        <w:ilvl w:val="2"/>
      </w:numPr>
      <w:outlineLvl w:val="3"/>
    </w:pPr>
  </w:style>
  <w:style w:type="paragraph" w:customStyle="1" w:styleId="21">
    <w:name w:val="QH Text"/>
    <w:basedOn w:val="4"/>
    <w:qFormat/>
    <w:uiPriority w:val="0"/>
    <w:pPr>
      <w:adjustRightInd w:val="0"/>
      <w:spacing w:before="50" w:beforeLines="50" w:after="50" w:afterLines="50"/>
      <w:ind w:left="1701"/>
      <w:textAlignment w:val="baseline"/>
    </w:pPr>
    <w:rPr>
      <w:rFonts w:ascii="Arial" w:hAnsi="Arial"/>
    </w:rPr>
  </w:style>
  <w:style w:type="paragraph" w:customStyle="1" w:styleId="22">
    <w:name w:val="tty80"/>
    <w:basedOn w:val="1"/>
    <w:qFormat/>
    <w:uiPriority w:val="0"/>
    <w:rPr>
      <w:rFonts w:ascii="Courier New" w:hAnsi="Courier New"/>
    </w:rPr>
  </w:style>
  <w:style w:type="paragraph" w:customStyle="1" w:styleId="23">
    <w:name w:val="一级无"/>
    <w:basedOn w:val="18"/>
    <w:qFormat/>
    <w:uiPriority w:val="0"/>
    <w:pPr>
      <w:spacing w:beforeLines="0" w:afterLines="0"/>
    </w:pPr>
    <w:rPr>
      <w:rFonts w:ascii="宋体" w:eastAsia="宋体"/>
    </w:rPr>
  </w:style>
  <w:style w:type="character" w:customStyle="1" w:styleId="24">
    <w:name w:val="批注框文本 字符"/>
    <w:basedOn w:val="12"/>
    <w:link w:val="5"/>
    <w:qFormat/>
    <w:uiPriority w:val="0"/>
    <w:rPr>
      <w:rFonts w:asciiTheme="minorHAnsi" w:hAnsiTheme="minorHAnsi" w:eastAsiaTheme="minorEastAsia" w:cstheme="minorBidi"/>
      <w:kern w:val="2"/>
      <w:sz w:val="18"/>
      <w:szCs w:val="18"/>
    </w:rPr>
  </w:style>
  <w:style w:type="character" w:customStyle="1" w:styleId="25">
    <w:name w:val="页脚 字符"/>
    <w:basedOn w:val="12"/>
    <w:link w:val="6"/>
    <w:qFormat/>
    <w:uiPriority w:val="99"/>
    <w:rPr>
      <w:rFonts w:asciiTheme="minorHAnsi" w:hAnsiTheme="minorHAnsi" w:eastAsiaTheme="minorEastAsia" w:cstheme="minorBidi"/>
      <w:kern w:val="2"/>
      <w:sz w:val="18"/>
      <w:szCs w:val="24"/>
    </w:rPr>
  </w:style>
  <w:style w:type="character" w:customStyle="1" w:styleId="26">
    <w:name w:val="批注文字 字符"/>
    <w:basedOn w:val="12"/>
    <w:link w:val="3"/>
    <w:qFormat/>
    <w:uiPriority w:val="0"/>
    <w:rPr>
      <w:rFonts w:asciiTheme="minorHAnsi" w:hAnsiTheme="minorHAnsi" w:eastAsiaTheme="minorEastAsia" w:cstheme="minorBidi"/>
      <w:kern w:val="2"/>
      <w:sz w:val="21"/>
      <w:szCs w:val="24"/>
    </w:rPr>
  </w:style>
  <w:style w:type="character" w:customStyle="1" w:styleId="27">
    <w:name w:val="批注主题 字符"/>
    <w:basedOn w:val="26"/>
    <w:link w:val="9"/>
    <w:qFormat/>
    <w:uiPriority w:val="0"/>
    <w:rPr>
      <w:rFonts w:asciiTheme="minorHAnsi" w:hAnsiTheme="minorHAnsi" w:eastAsiaTheme="minorEastAsia" w:cstheme="minorBidi"/>
      <w:b/>
      <w:bCs/>
      <w:kern w:val="2"/>
      <w:sz w:val="21"/>
      <w:szCs w:val="24"/>
    </w:rPr>
  </w:style>
  <w:style w:type="paragraph" w:customStyle="1" w:styleId="28">
    <w:name w:val="修订1"/>
    <w:hidden/>
    <w:unhideWhenUsed/>
    <w:qFormat/>
    <w:uiPriority w:val="99"/>
    <w:rPr>
      <w:rFonts w:asciiTheme="minorHAnsi" w:hAnsiTheme="minorHAnsi" w:eastAsiaTheme="minorEastAsia" w:cstheme="minorBidi"/>
      <w:kern w:val="2"/>
      <w:sz w:val="21"/>
      <w:szCs w:val="24"/>
      <w:lang w:val="en-US" w:eastAsia="zh-CN" w:bidi="ar-SA"/>
    </w:rPr>
  </w:style>
  <w:style w:type="character" w:customStyle="1" w:styleId="29">
    <w:name w:val="font21"/>
    <w:basedOn w:val="12"/>
    <w:qFormat/>
    <w:uiPriority w:val="0"/>
    <w:rPr>
      <w:rFonts w:hint="eastAsia" w:ascii="宋体" w:hAnsi="宋体" w:eastAsia="宋体" w:cs="宋体"/>
      <w:b/>
      <w:bCs/>
      <w:color w:val="000000"/>
      <w:sz w:val="16"/>
      <w:szCs w:val="16"/>
      <w:u w:val="none"/>
    </w:rPr>
  </w:style>
  <w:style w:type="character" w:customStyle="1" w:styleId="30">
    <w:name w:val="font31"/>
    <w:basedOn w:val="12"/>
    <w:qFormat/>
    <w:uiPriority w:val="0"/>
    <w:rPr>
      <w:rFonts w:hint="eastAsia" w:ascii="宋体" w:hAnsi="宋体" w:eastAsia="宋体" w:cs="宋体"/>
      <w:b/>
      <w:bCs/>
      <w:color w:val="000000"/>
      <w:sz w:val="18"/>
      <w:szCs w:val="18"/>
      <w:u w:val="none"/>
    </w:rPr>
  </w:style>
  <w:style w:type="character" w:customStyle="1" w:styleId="31">
    <w:name w:val="font41"/>
    <w:basedOn w:val="12"/>
    <w:qFormat/>
    <w:uiPriority w:val="0"/>
    <w:rPr>
      <w:rFonts w:hint="eastAsia" w:ascii="宋体" w:hAnsi="宋体" w:eastAsia="宋体" w:cs="宋体"/>
      <w:color w:val="000000"/>
      <w:sz w:val="16"/>
      <w:szCs w:val="16"/>
      <w:u w:val="none"/>
    </w:rPr>
  </w:style>
  <w:style w:type="character" w:customStyle="1" w:styleId="32">
    <w:name w:val="font81"/>
    <w:basedOn w:val="12"/>
    <w:qFormat/>
    <w:uiPriority w:val="0"/>
    <w:rPr>
      <w:rFonts w:hint="eastAsia" w:ascii="宋体" w:hAnsi="宋体" w:eastAsia="宋体" w:cs="宋体"/>
      <w:color w:val="FF0000"/>
      <w:sz w:val="16"/>
      <w:szCs w:val="16"/>
      <w:u w:val="none"/>
    </w:rPr>
  </w:style>
  <w:style w:type="paragraph" w:customStyle="1" w:styleId="33">
    <w:name w:val="Revision"/>
    <w:hidden/>
    <w:unhideWhenUsed/>
    <w:qFormat/>
    <w:uiPriority w:val="99"/>
    <w:rPr>
      <w:rFonts w:asciiTheme="minorHAnsi" w:hAnsiTheme="minorHAnsi" w:eastAsiaTheme="minorEastAsia" w:cstheme="minorBidi"/>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1" Type="http://schemas.openxmlformats.org/officeDocument/2006/relationships/fontTable" Target="fontTable.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E02ADF8-B9DF-47EA-B5F5-A35E015E4D4D}">
  <ds:schemaRefs/>
</ds:datastoreItem>
</file>

<file path=docProps/app.xml><?xml version="1.0" encoding="utf-8"?>
<Properties xmlns="http://schemas.openxmlformats.org/officeDocument/2006/extended-properties" xmlns:vt="http://schemas.openxmlformats.org/officeDocument/2006/docPropsVTypes">
  <Template>Normal.dotm</Template>
  <Company>China</Company>
  <Pages>40</Pages>
  <Words>14224</Words>
  <Characters>15531</Characters>
  <Lines>119</Lines>
  <Paragraphs>33</Paragraphs>
  <TotalTime>13</TotalTime>
  <ScaleCrop>false</ScaleCrop>
  <LinksUpToDate>false</LinksUpToDate>
  <CharactersWithSpaces>15570</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2024-01-26T08:15:00Z</dcterms:created>
  <dc:creator>Administrator</dc:creator>
  <cp:lastModifiedBy>程智</cp:lastModifiedBy>
  <cp:lastPrinted>2020-03-09T15:40:00Z</cp:lastPrinted>
  <dcterms:modified xsi:type="dcterms:W3CDTF">2024-09-10T02:01:46Z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214D87409E31471E885FEEDBAD789468_13</vt:lpwstr>
  </property>
</Properties>
</file>