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framePr w:wrap="around"/>
      </w:pPr>
      <w:bookmarkStart w:id="164" w:name="_GoBack"/>
      <w:bookmarkEnd w:id="164"/>
      <w:r>
        <w:rPr>
          <w:rFonts w:hint="eastAsia"/>
        </w:rPr>
        <w:t>Q/ZDYY</w:t>
      </w:r>
    </w:p>
    <w:p>
      <w:pPr>
        <w:pStyle w:val="18"/>
        <w:framePr w:wrap="around" w:x="988" w:y="5748"/>
        <w:rPr>
          <w:rFonts w:hAnsi="黑体" w:cs="黑体"/>
        </w:rPr>
      </w:pPr>
      <w:r>
        <w:rPr>
          <w:rFonts w:hint="eastAsia" w:hAnsi="黑体" w:cs="黑体"/>
        </w:rPr>
        <w:t>修复件和周转件管理细则</w:t>
      </w:r>
    </w:p>
    <w:p>
      <w:pPr>
        <w:pStyle w:val="18"/>
        <w:framePr w:wrap="around" w:x="988" w:y="5748"/>
        <w:rPr>
          <w:rFonts w:hAnsi="黑体" w:cs="黑体"/>
        </w:rPr>
      </w:pPr>
    </w:p>
    <w:p>
      <w:pPr>
        <w:framePr w:w="9639" w:h="6917" w:hRule="exact" w:wrap="around" w:vAnchor="page" w:hAnchor="page" w:x="988" w:y="5748" w:anchorLock="1"/>
        <w:spacing w:line="680" w:lineRule="exact"/>
        <w:jc w:val="center"/>
        <w:textAlignment w:val="center"/>
        <w:rPr>
          <w:rFonts w:ascii="黑体" w:eastAsia="黑体"/>
          <w:kern w:val="0"/>
          <w:sz w:val="52"/>
          <w:szCs w:val="20"/>
        </w:rPr>
      </w:pPr>
      <w:r>
        <w:rPr>
          <w:rFonts w:hint="eastAsia" w:ascii="黑体" w:eastAsia="黑体"/>
          <w:kern w:val="0"/>
          <w:sz w:val="52"/>
          <w:szCs w:val="20"/>
        </w:rPr>
        <w:t>A/0</w:t>
      </w:r>
    </w:p>
    <w:p>
      <w:pPr>
        <w:pStyle w:val="19"/>
        <w:framePr w:w="2412" w:wrap="around" w:vAnchor="page" w:hAnchor="page" w:x="1422" w:y="13715"/>
      </w:pPr>
      <w:r>
        <w:rPr>
          <w:rFonts w:hint="eastAsia" w:ascii="黑体"/>
        </w:rPr>
        <w:t>202</w:t>
      </w:r>
      <w:r>
        <w:rPr>
          <w:rFonts w:hint="eastAsia" w:ascii="黑体"/>
          <w:lang w:val="en-US" w:eastAsia="zh-CN"/>
        </w:rPr>
        <w:t>*</w:t>
      </w:r>
      <w:r>
        <w:rPr>
          <w:rFonts w:hint="eastAsia"/>
        </w:rPr>
        <w:t xml:space="preserve"> </w:t>
      </w:r>
      <w:r>
        <w:rPr>
          <w:rFonts w:hint="eastAsia" w:ascii="黑体"/>
        </w:rPr>
        <w:t>-</w:t>
      </w:r>
      <w:r>
        <w:rPr>
          <w:rFonts w:hint="eastAsia"/>
        </w:rPr>
        <w:t xml:space="preserve"> </w:t>
      </w:r>
      <w:r>
        <w:rPr>
          <w:rFonts w:hint="eastAsia"/>
          <w:lang w:val="en-US" w:eastAsia="zh-CN"/>
        </w:rPr>
        <w:t>**</w:t>
      </w:r>
      <w:r>
        <w:rPr>
          <w:rFonts w:hint="eastAsia"/>
        </w:rPr>
        <w:t xml:space="preserve"> </w:t>
      </w:r>
      <w:r>
        <w:rPr>
          <w:rFonts w:hint="eastAsia" w:ascii="黑体"/>
        </w:rPr>
        <w:t>-**</w:t>
      </w:r>
      <w:r>
        <w:rPr>
          <w:rFonts w:hint="eastAsia"/>
        </w:rPr>
        <w:t>发布</w:t>
      </w:r>
    </w:p>
    <w:p>
      <w:pPr>
        <w:pStyle w:val="21"/>
        <w:framePr w:w="2529" w:wrap="around" w:vAnchor="page" w:hAnchor="page" w:x="8438" w:y="13684"/>
        <w:jc w:val="left"/>
      </w:pPr>
      <w:r>
        <w:rPr>
          <w:rFonts w:hint="eastAsia" w:ascii="黑体"/>
          <w:lang w:val="en-US" w:eastAsia="zh-CN"/>
        </w:rPr>
        <w:t>202*</w:t>
      </w:r>
      <w:r>
        <w:rPr>
          <w:rFonts w:hint="eastAsia"/>
        </w:rPr>
        <w:t xml:space="preserve"> </w:t>
      </w:r>
      <w:r>
        <w:rPr>
          <w:rFonts w:hint="eastAsia" w:ascii="黑体"/>
        </w:rPr>
        <w:t>-</w:t>
      </w:r>
      <w:r>
        <w:rPr>
          <w:rFonts w:hint="eastAsia"/>
        </w:rPr>
        <w:t xml:space="preserve"> </w:t>
      </w:r>
      <w:r>
        <w:rPr>
          <w:rFonts w:hint="eastAsia" w:ascii="黑体"/>
          <w:lang w:val="en-US" w:eastAsia="zh-CN"/>
        </w:rPr>
        <w:t>**</w:t>
      </w:r>
      <w:r>
        <w:rPr>
          <w:rFonts w:hint="eastAsia"/>
        </w:rPr>
        <w:t xml:space="preserve"> </w:t>
      </w:r>
      <w:r>
        <w:rPr>
          <w:rFonts w:hint="eastAsia" w:ascii="黑体"/>
        </w:rPr>
        <w:t>-</w:t>
      </w:r>
      <w:r>
        <w:rPr>
          <w:rFonts w:hint="eastAsia"/>
        </w:rPr>
        <w:t xml:space="preserve"> </w:t>
      </w:r>
      <w:r>
        <w:rPr>
          <w:rFonts w:hint="eastAsia" w:ascii="黑体"/>
          <w:lang w:val="en-US" w:eastAsia="zh-CN"/>
        </w:rPr>
        <w:t>**</w:t>
      </w:r>
      <w:r>
        <w:rPr>
          <w:rFonts w:hint="eastAsia"/>
        </w:rPr>
        <w:t>实施</w:t>
      </w:r>
    </w:p>
    <w:p>
      <w:pPr>
        <w:pStyle w:val="23"/>
        <w:framePr w:wrap="around"/>
      </w:pPr>
      <w:r>
        <w:rPr>
          <w:rFonts w:hint="eastAsia"/>
        </w:rPr>
        <w:t>郑州地铁集团有限公司运营分公司</w:t>
      </w:r>
      <w:r>
        <w:rPr>
          <w:rFonts w:hint="eastAsia"/>
          <w:szCs w:val="22"/>
        </w:rPr>
        <w:t>发布</w:t>
      </w:r>
    </w:p>
    <w:p>
      <w:pPr>
        <w:pStyle w:val="15"/>
        <w:framePr w:wrap="around"/>
        <w:jc w:val="both"/>
        <w:rPr>
          <w:color w:val="000000"/>
          <w:spacing w:val="0"/>
        </w:rPr>
      </w:pPr>
      <w:r>
        <w:rPr>
          <w:rFonts w:hint="eastAsia" w:hAnsi="黑体"/>
          <w:color w:val="000000"/>
          <w:spacing w:val="0"/>
        </w:rPr>
        <w:t>郑州地铁集团有限公司运营分公司企业标准</w:t>
      </w:r>
    </w:p>
    <w:p>
      <w:pPr>
        <w:pStyle w:val="16"/>
        <w:framePr w:wrap="around"/>
        <w:ind w:right="280"/>
        <w:rPr>
          <w:rFonts w:hint="default" w:eastAsia="黑体"/>
          <w:lang w:val="en-US" w:eastAsia="zh-CN"/>
        </w:rPr>
      </w:pPr>
      <w:r>
        <w:rPr>
          <w:rFonts w:hint="eastAsia"/>
        </w:rPr>
        <w:t>Q/ZDYY-C</w:t>
      </w:r>
      <w:r>
        <w:rPr>
          <w:rFonts w:hint="eastAsia"/>
          <w:lang w:val="en-US" w:eastAsia="zh-CN"/>
        </w:rPr>
        <w:t>CH</w:t>
      </w:r>
      <w:r>
        <w:rPr>
          <w:rFonts w:hint="eastAsia"/>
        </w:rPr>
        <w:t>-XZ-</w:t>
      </w:r>
      <w:r>
        <w:rPr>
          <w:rFonts w:hint="eastAsia"/>
          <w:lang w:val="en-US" w:eastAsia="zh-CN"/>
        </w:rPr>
        <w:t>01</w:t>
      </w:r>
    </w:p>
    <w:p>
      <w:pPr>
        <w:pStyle w:val="25"/>
        <w:jc w:val="left"/>
        <w:sectPr>
          <w:footerReference r:id="rId3" w:type="default"/>
          <w:pgSz w:w="11906" w:h="16838"/>
          <w:pgMar w:top="567" w:right="851" w:bottom="1134" w:left="1418" w:header="0" w:footer="0" w:gutter="0"/>
          <w:pgNumType w:start="1"/>
          <w:cols w:space="720" w:num="1"/>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2228215</wp:posOffset>
                </wp:positionV>
                <wp:extent cx="6121400" cy="18415"/>
                <wp:effectExtent l="0" t="4445" r="12700" b="5715"/>
                <wp:wrapNone/>
                <wp:docPr id="6" name="直接连接符 6"/>
                <wp:cNvGraphicFramePr/>
                <a:graphic xmlns:a="http://schemas.openxmlformats.org/drawingml/2006/main">
                  <a:graphicData uri="http://schemas.microsoft.com/office/word/2010/wordprocessingShape">
                    <wps:wsp>
                      <wps:cNvCnPr/>
                      <wps:spPr>
                        <a:xfrm flipV="1">
                          <a:off x="0" y="0"/>
                          <a:ext cx="6121400" cy="1841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0.9pt;margin-top:175.45pt;height:1.45pt;width:482pt;z-index:251662336;mso-width-relative:page;mso-height-relative:page;" filled="f" stroked="t" coordsize="21600,21600" o:gfxdata="UEsDBAoAAAAAAIdO4kAAAAAAAAAAAAAAAAAEAAAAZHJzL1BLAwQUAAAACACHTuJAoxJB+9gAAAAK&#10;AQAADwAAAGRycy9kb3ducmV2LnhtbE2PwU7DMBBE70j9B2sr9dbaSUTVhDgVQtALEhIlcHbiJYmw&#10;11HspuXvcU/0uLOjmTfl/mINm3HygyMJyUYAQ2qdHqiTUH+8rHfAfFCklXGEEn7Rw75a3JWq0O5M&#10;7zgfQ8diCPlCSehDGAvOfdujVX7jRqT4+3aTVSGeU8f1pM4x3BqeCrHlVg0UG3o14lOP7c/xZCU8&#10;fr0+Z29zY53ReVd/aluLQyrlapmIB2ABL+HfDFf8iA5VZGrcibRnRsI6ieRBQnYvcmDRkG/TFFhz&#10;VbId8KrktxOqP1BLAwQUAAAACACHTuJA1aJeRvYBAADmAwAADgAAAGRycy9lMm9Eb2MueG1srVO9&#10;jhMxEO6ReAfLPdlsdImOVTZXXDgaBCfx009sb9aS/+TxZZOX4AWQ6KCipOdtOB6DsTcEOJoUbGGN&#10;Zz5/nu/b8fJqbw3bqYjau5bXkylnygkvtdu2/O2bmyeXnGECJ8F4p1p+UMivVo8fLYfQqJnvvZEq&#10;MiJx2Ayh5X1KoakqFL2ygBMflKNi56OFRNu4rWSEgditqWbT6aIafJQheqEQKbsei/zIGM8h9F2n&#10;hVp7cWeVSyNrVAYSScJeB+Sr0m3XKZFedR2qxEzLSWkqK11C8Sav1WoJzTZC6LU4tgDntPBAkwXt&#10;6NIT1RoSsLuo/6GyWkSPvksT4W01CimOkIp6+sCb1z0EVbSQ1RhOpuP/oxUvd7eRadnyBWcOLP3w&#10;+w9fv7//9OPbR1rvv3xmi2zSELAh7LW7jccdhtuYFe+7aFlndHhH01Q8IFVsXyw+nCxW+8QEJRf1&#10;rL6YkvuCavXlRT3P7NVIk+lCxPRcecty0HKjXXYAGti9wDRCf0Fy2jg2tPzpfDYnSqBx7GgMKLSB&#10;JKHblrPojZY32ph8AuN2c20i20EeifIdW/gLli9ZA/YjrpQyDJpegXzmJEuHQGY5eiM8t2CV5Mwo&#10;elI5KsgE2pyDJPXGkQnZ49HVHG28PBSzS55+f7HpOKp5vv7cl9O/n+fq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MSQfvYAAAACgEAAA8AAAAAAAAAAQAgAAAAIgAAAGRycy9kb3ducmV2LnhtbFBL&#10;AQIUABQAAAAIAIdO4kDVol5G9gEAAOYDAAAOAAAAAAAAAAEAIAAAACc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8674735</wp:posOffset>
                </wp:positionV>
                <wp:extent cx="612140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1214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0.55pt;margin-top:683.05pt;height:0.05pt;width:482pt;z-index:251661312;mso-width-relative:page;mso-height-relative:page;" filled="f" stroked="t" coordsize="21600,21600" o:gfxdata="UEsDBAoAAAAAAIdO4kAAAAAAAAAAAAAAAAAEAAAAZHJzL1BLAwQUAAAACACHTuJAnyB6VNgAAAAM&#10;AQAADwAAAGRycy9kb3ducmV2LnhtbE2PzU7DQAyE70i8w8pIXKp2k1SKaJpND0BuXCggrm7WTSKy&#10;3jS7/YGnx4gD3OyZ0fhzubm4QZ1oCr1nA+kiAUXceNtza+D1pZ7fgQoR2eLgmQx8UoBNdX1VYmH9&#10;mZ/ptI2tkhIOBRroYhwLrUPTkcOw8COxeHs/OYyyTq22E56l3A06S5JcO+xZLnQ40n1Hzcf26AyE&#10;+o0O9desmSXvy9ZTdnh4ekRjbm/SZA0q0iX+heEHX9ChEqadP7INajAwT1NJir7Mc5kkscqzFajd&#10;r5SBrkr9/4nqG1BLAwQUAAAACACHTuJALiIcOOwBAADaAwAADgAAAGRycy9lMm9Eb2MueG1srVNL&#10;jhMxEN0jcQfLe9L5kAha6cxiwrBBEAk4QMV2py35J5cnnVyCCyCxgxVL9tyG4RiU3SEDwyYLeuEu&#10;1+e53nN5eXWwhu1VRO1dwyejMWfKCS+12zX8/bubJ884wwROgvFONfyokF+tHj9a9qFWU995I1Vk&#10;BOKw7kPDu5RCXVUoOmUBRz4oR8HWRwuJtnFXyQg9oVtTTcfjRdX7KEP0QiGSdz0E+QkxXgLo21YL&#10;tfbi1iqXBtSoDCSihJ0OyFel27ZVIr1pW1SJmYYT01RWOoTsbV6r1RLqXYTQaXFqAS5p4QEnC9rR&#10;oWeoNSRgt1H/A2W1iB59m0bC22ogUhQhFpPxA23edhBU4UJSYziLjv8PVrzebyLTsuEzzhxYuvC7&#10;j99+fPj88/snWu++fmGzLFIfsKbca7eJpx2GTcyMD220+U9c2KEIezwLqw6JCXIuJtPJ0zFpLii2&#10;mM0zYnVfGiKml8pblo2GG+0ya6hh/wrTkPo7JbuNY33Dn8+ncwIEGsGWrp5MG4gGul2pRW+0vNHG&#10;5AqMu+21iWwPeQzKd2rhr7R8yBqwG/JKKKdB3SmQL5xk6RhIIEfvgucWrJKcGUXPKFslM4E2l2QS&#10;e+NIhKzroGS2tl4ei8DFT1deZDqNZ56pP/el+v5Jr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yB6VNgAAAAMAQAADwAAAAAAAAABACAAAAAiAAAAZHJzL2Rvd25yZXYueG1sUEsBAhQAFAAAAAgA&#10;h07iQC4iHDjsAQAA2gMAAA4AAAAAAAAAAQAgAAAAJw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-66675</wp:posOffset>
                </wp:positionH>
                <wp:positionV relativeFrom="paragraph">
                  <wp:posOffset>396240</wp:posOffset>
                </wp:positionV>
                <wp:extent cx="866775" cy="198120"/>
                <wp:effectExtent l="0" t="0" r="9525" b="11430"/>
                <wp:wrapNone/>
                <wp:docPr id="4" name="矩形 4"/>
                <wp:cNvGraphicFramePr/>
                <a:graphic xmlns:a="http://schemas.openxmlformats.org/drawingml/2006/main">
                  <a:graphicData uri="http://schemas.microsoft.com/office/word/2010/wordprocessingShape">
                    <wps:wsp>
                      <wps:cNvSpPr/>
                      <wps:spPr>
                        <a:xfrm>
                          <a:off x="0" y="0"/>
                          <a:ext cx="866775" cy="19812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5.25pt;margin-top:31.2pt;height:15.6pt;width:68.25pt;z-index:-251656192;mso-width-relative:page;mso-height-relative:page;" fillcolor="#FFFFFF" filled="t" stroked="f" coordsize="21600,21600" o:gfxdata="UEsDBAoAAAAAAIdO4kAAAAAAAAAAAAAAAAAEAAAAZHJzL1BLAwQUAAAACACHTuJAZBkAU9cAAAAJ&#10;AQAADwAAAGRycy9kb3ducmV2LnhtbE2PMU/DMBCFdyT+g3VIbK2dtLVoyKUDUidgoK3Eeo2vSURs&#10;h9htw7/HnWA83af3vlduJtuLC4+h8w4hmysQ7GpvOtcgHPbb2ROIEMkZ6r1jhB8OsKnu70oqjL+6&#10;D77sYiNSiAsFIbQxDoWUoW7ZUpj7gV36nfxoKaZzbKQZ6ZrCbS9zpbS01LnU0NLALy3XX7uzRSC9&#10;NN/vp8Xb/vWsad1Marv6VIiPD5l6BhF5in8w3PSTOlTJ6ejPzgTRI8wytUoogs6XIG5ArtO4I8J6&#10;oUFWpfy/oPoFUEsDBBQAAAAIAIdO4kAqMPOcsgEAAF4DAAAOAAAAZHJzL2Uyb0RvYy54bWytU82O&#10;0zAQviPxDpbvNE21dEvUdA9U5YJgpYUHcB07seQ/zbhN+zRI3HgIHgfxGoyd0oXlsgdycGY8M9/M&#10;902yvjs5y44K0ATf8no250x5GTrj+5Z//rR7teIMk/CdsMGrlp8V8rvNyxfrMTZqEYZgOwWMQDw2&#10;Y2z5kFJsqgrloJzAWYjKU1AHcCKRC33VgRgJ3dlqMZ8vqzFAFyFIhUi32ynIL4jwHMCgtZFqG+TB&#10;KZ8mVFBWJKKEg4nIN2VarZVMH7VGlZhtOTFN5aQmZO/zWW3WoulBxMHIywjiOSM84eSE8dT0CrUV&#10;SbADmH+gnJEQMOg0k8FVE5GiCLGo50+0eRhEVIULSY3xKjr+P1j54XgPzHQtv+HMC0cL//nl24/v&#10;X9lN1maM2FDKQ7yHi4dkZqInDS6/iQI7FT3PVz3VKTFJl6vl8vb2NWeSQvWbVb0oelePxREwvVPB&#10;sWy0HGhdRUVxfI+JGlLq75TcC4M13c5YWxzo928tsKOg1e7Kkyemkr/SrM/JPuSyKZxvqkxsopKt&#10;fejOJMMhgukHGqQuSDlCshfMyyeS9/qnX5Aef4vN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QZ&#10;AFPXAAAACQEAAA8AAAAAAAAAAQAgAAAAIgAAAGRycy9kb3ducmV2LnhtbFBLAQIUABQAAAAIAIdO&#10;4kAqMPOcsgEAAF4DAAAOAAAAAAAAAAEAIAAAACYBAABkcnMvZTJvRG9jLnhtbFBLBQYAAAAABgAG&#10;AFkBAABKBQAAAAA=&#10;">
                <v:fill on="t" focussize="0,0"/>
                <v:stroke on="f"/>
                <v:imagedata o:title=""/>
                <o:lock v:ext="edit" aspectratio="f"/>
              </v:rect>
            </w:pict>
          </mc:Fallback>
        </mc:AlternateContent>
      </w:r>
    </w:p>
    <w:p>
      <w:pPr>
        <w:pStyle w:val="26"/>
      </w:pPr>
      <w:bookmarkStart w:id="0" w:name="_Toc13917"/>
      <w:bookmarkStart w:id="1" w:name="_Toc11820"/>
      <w:bookmarkStart w:id="2" w:name="_Toc27138"/>
      <w:bookmarkStart w:id="3" w:name="_Toc10788"/>
      <w:r>
        <w:rPr>
          <w:rFonts w:hint="eastAsia"/>
        </w:rPr>
        <w:t>目</w:t>
      </w:r>
      <w:bookmarkStart w:id="4" w:name="BKML"/>
      <w:r>
        <w:rPr>
          <w:rFonts w:hint="eastAsia"/>
        </w:rPr>
        <w:t>  次</w:t>
      </w:r>
      <w:bookmarkEnd w:id="0"/>
      <w:bookmarkEnd w:id="4"/>
    </w:p>
    <w:p>
      <w:pPr>
        <w:pStyle w:val="6"/>
        <w:tabs>
          <w:tab w:val="right" w:leader="dot" w:pos="9354"/>
          <w:tab w:val="clear" w:pos="9242"/>
        </w:tabs>
        <w:spacing w:before="78" w:after="78"/>
        <w:rPr>
          <w:rFonts w:hAnsi="宋体" w:cs="宋体"/>
        </w:rPr>
      </w:pPr>
      <w:r>
        <w:fldChar w:fldCharType="begin"/>
      </w:r>
      <w:r>
        <w:instrText xml:space="preserve"> HYPERLINK \l "_Toc13917" </w:instrText>
      </w:r>
      <w:r>
        <w:fldChar w:fldCharType="separate"/>
      </w:r>
      <w:r>
        <w:rPr>
          <w:rFonts w:hint="eastAsia" w:hAnsi="宋体" w:cs="宋体"/>
        </w:rPr>
        <w:t>目  次</w:t>
      </w:r>
      <w:r>
        <w:rPr>
          <w:rFonts w:hint="eastAsia" w:hAnsi="宋体" w:cs="宋体"/>
        </w:rPr>
        <w:tab/>
      </w:r>
      <w:r>
        <w:rPr>
          <w:rFonts w:hint="eastAsia" w:hAnsi="宋体" w:cs="宋体"/>
        </w:rPr>
        <w:fldChar w:fldCharType="begin"/>
      </w:r>
      <w:r>
        <w:rPr>
          <w:rFonts w:hint="eastAsia" w:hAnsi="宋体" w:cs="宋体"/>
        </w:rPr>
        <w:instrText xml:space="preserve"> PAGEREF _Toc13917 </w:instrText>
      </w:r>
      <w:r>
        <w:rPr>
          <w:rFonts w:hint="eastAsia" w:hAnsi="宋体" w:cs="宋体"/>
        </w:rPr>
        <w:fldChar w:fldCharType="separate"/>
      </w:r>
      <w:r>
        <w:rPr>
          <w:rFonts w:hint="eastAsia" w:hAnsi="宋体" w:cs="宋体"/>
        </w:rPr>
        <w:t>I</w:t>
      </w:r>
      <w:r>
        <w:rPr>
          <w:rFonts w:hint="eastAsia" w:hAnsi="宋体" w:cs="宋体"/>
        </w:rPr>
        <w:fldChar w:fldCharType="end"/>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"_Toc26029" </w:instrText>
      </w:r>
      <w:r>
        <w:fldChar w:fldCharType="separate"/>
      </w:r>
      <w:r>
        <w:rPr>
          <w:rFonts w:hint="eastAsia" w:hAnsi="宋体" w:cs="宋体"/>
          <w:kern w:val="0"/>
          <w:szCs w:val="32"/>
        </w:rPr>
        <w:t>前  言</w:t>
      </w:r>
      <w:r>
        <w:rPr>
          <w:rFonts w:hint="eastAsia" w:hAnsi="宋体" w:cs="宋体"/>
        </w:rPr>
        <w:tab/>
      </w:r>
      <w:r>
        <w:rPr>
          <w:rFonts w:hint="eastAsia" w:hAnsi="宋体" w:cs="宋体"/>
        </w:rPr>
        <w:fldChar w:fldCharType="begin"/>
      </w:r>
      <w:r>
        <w:rPr>
          <w:rFonts w:hint="eastAsia" w:hAnsi="宋体" w:cs="宋体"/>
        </w:rPr>
        <w:instrText xml:space="preserve"> PAGEREF _Toc26029 </w:instrText>
      </w:r>
      <w:r>
        <w:rPr>
          <w:rFonts w:hint="eastAsia" w:hAnsi="宋体" w:cs="宋体"/>
        </w:rPr>
        <w:fldChar w:fldCharType="separate"/>
      </w:r>
      <w:r>
        <w:rPr>
          <w:rFonts w:hint="eastAsia" w:hAnsi="宋体" w:cs="宋体"/>
        </w:rPr>
        <w:t>II</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"_Toc648" </w:instrText>
      </w:r>
      <w: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_Toc648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"_Toc16756" </w:instrText>
      </w:r>
      <w: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_Toc16756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"_Toc23459" </w:instrText>
      </w:r>
      <w:r>
        <w:fldChar w:fldCharType="separate"/>
      </w:r>
      <w:r>
        <w:rPr>
          <w:rFonts w:hint="eastAsia" w:hAnsi="宋体" w:cs="宋体"/>
        </w:rPr>
        <w:t>3 术语和定义</w:t>
      </w:r>
      <w:r>
        <w:rPr>
          <w:rFonts w:hint="eastAsia" w:hAnsi="宋体" w:cs="宋体"/>
        </w:rPr>
        <w:tab/>
      </w:r>
      <w:r>
        <w:rPr>
          <w:rFonts w:hint="eastAsia" w:hAnsi="宋体" w:cs="宋体"/>
        </w:rPr>
        <w:fldChar w:fldCharType="begin"/>
      </w:r>
      <w:r>
        <w:rPr>
          <w:rFonts w:hint="eastAsia" w:hAnsi="宋体" w:cs="宋体"/>
        </w:rPr>
        <w:instrText xml:space="preserve"> PAGEREF _Toc23459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"_Toc14057" </w:instrText>
      </w:r>
      <w:r>
        <w:fldChar w:fldCharType="separate"/>
      </w:r>
      <w:r>
        <w:rPr>
          <w:rFonts w:hint="eastAsia" w:hAnsi="宋体" w:cs="宋体"/>
        </w:rPr>
        <w:t>4 职责</w:t>
      </w:r>
      <w:r>
        <w:rPr>
          <w:rFonts w:hint="eastAsia" w:hAnsi="宋体" w:cs="宋体"/>
        </w:rPr>
        <w:tab/>
      </w:r>
      <w:r>
        <w:rPr>
          <w:rFonts w:hint="eastAsia" w:hAnsi="宋体" w:cs="宋体"/>
        </w:rPr>
        <w:fldChar w:fldCharType="end"/>
      </w:r>
      <w:r>
        <w:rPr>
          <w:rFonts w:hint="eastAsia" w:hAnsi="宋体" w:cs="宋体"/>
        </w:rPr>
        <w:t>1</w:t>
      </w:r>
    </w:p>
    <w:p>
      <w:pPr>
        <w:pStyle w:val="7"/>
        <w:tabs>
          <w:tab w:val="right" w:leader="dot" w:pos="9354"/>
          <w:tab w:val="clear" w:pos="9242"/>
        </w:tabs>
        <w:rPr>
          <w:rFonts w:hAnsi="宋体" w:cs="宋体"/>
        </w:rPr>
      </w:pPr>
      <w:r>
        <w:fldChar w:fldCharType="begin"/>
      </w:r>
      <w:r>
        <w:instrText xml:space="preserve"> HYPERLINK \l "_Toc32365" </w:instrText>
      </w:r>
      <w:r>
        <w:fldChar w:fldCharType="separate"/>
      </w:r>
      <w:r>
        <w:rPr>
          <w:rFonts w:hint="eastAsia" w:hAnsi="宋体" w:cs="宋体"/>
        </w:rPr>
        <w:t>5 管理流程</w:t>
      </w:r>
      <w:r>
        <w:rPr>
          <w:rFonts w:hint="eastAsia" w:hAnsi="宋体" w:cs="宋体"/>
        </w:rPr>
        <w:tab/>
      </w:r>
      <w:r>
        <w:rPr>
          <w:rFonts w:hint="eastAsia" w:hAnsi="宋体" w:cs="宋体"/>
        </w:rPr>
        <w:fldChar w:fldCharType="end"/>
      </w:r>
      <w:r>
        <w:rPr>
          <w:rFonts w:hint="eastAsia" w:hAnsi="宋体" w:cs="宋体"/>
        </w:rPr>
        <w:t>2</w:t>
      </w:r>
    </w:p>
    <w:p>
      <w:pPr>
        <w:pStyle w:val="7"/>
        <w:tabs>
          <w:tab w:val="right" w:leader="dot" w:pos="9354"/>
          <w:tab w:val="clear" w:pos="9242"/>
        </w:tabs>
      </w:pPr>
      <w:r>
        <w:fldChar w:fldCharType="begin"/>
      </w:r>
      <w:r>
        <w:instrText xml:space="preserve"> HYPERLINK \l "_Toc32365" </w:instrText>
      </w:r>
      <w:r>
        <w:fldChar w:fldCharType="separate"/>
      </w:r>
      <w:r>
        <w:rPr>
          <w:rFonts w:hint="eastAsia"/>
        </w:rPr>
        <w:t>6</w:t>
      </w:r>
      <w:r>
        <w:rPr>
          <w:rFonts w:hint="eastAsia" w:hAnsi="宋体" w:cs="宋体"/>
        </w:rPr>
        <w:t xml:space="preserve"> 管理内容及要求</w:t>
      </w:r>
      <w:r>
        <w:rPr>
          <w:rFonts w:hint="eastAsia" w:hAnsi="宋体" w:cs="宋体"/>
        </w:rPr>
        <w:tab/>
      </w:r>
      <w:r>
        <w:rPr>
          <w:rFonts w:hint="eastAsia" w:hAnsi="宋体" w:cs="宋体"/>
        </w:rPr>
        <w:fldChar w:fldCharType="end"/>
      </w:r>
      <w:r>
        <w:rPr>
          <w:rFonts w:hint="eastAsia" w:hAnsi="宋体" w:cs="宋体"/>
        </w:rPr>
        <w:t>3</w:t>
      </w:r>
    </w:p>
    <w:p>
      <w:pPr>
        <w:pStyle w:val="7"/>
        <w:tabs>
          <w:tab w:val="right" w:leader="dot" w:pos="9354"/>
          <w:tab w:val="clear" w:pos="9242"/>
        </w:tabs>
        <w:rPr>
          <w:rFonts w:hAnsi="宋体" w:cs="宋体"/>
        </w:rPr>
      </w:pPr>
      <w:r>
        <w:fldChar w:fldCharType="begin"/>
      </w:r>
      <w:r>
        <w:instrText xml:space="preserve"> HYPERLINK \l "_Toc15726" </w:instrText>
      </w:r>
      <w:r>
        <w:fldChar w:fldCharType="separate"/>
      </w:r>
      <w:r>
        <w:rPr>
          <w:rFonts w:hint="eastAsia"/>
        </w:rPr>
        <w:t>7</w:t>
      </w:r>
      <w:r>
        <w:rPr>
          <w:rFonts w:hint="eastAsia" w:hAnsi="宋体" w:cs="宋体"/>
        </w:rPr>
        <w:t xml:space="preserve"> 报告和记录</w:t>
      </w:r>
      <w:r>
        <w:rPr>
          <w:rFonts w:hint="eastAsia" w:hAnsi="宋体" w:cs="宋体"/>
        </w:rPr>
        <w:tab/>
      </w:r>
      <w:r>
        <w:rPr>
          <w:rFonts w:hint="eastAsia" w:hAnsi="宋体" w:cs="宋体"/>
        </w:rPr>
        <w:fldChar w:fldCharType="end"/>
      </w:r>
      <w:r>
        <w:rPr>
          <w:rFonts w:hint="eastAsia" w:hAnsi="宋体" w:cs="宋体"/>
        </w:rPr>
        <w:t>4</w:t>
      </w:r>
    </w:p>
    <w:p>
      <w:pPr>
        <w:pStyle w:val="7"/>
        <w:tabs>
          <w:tab w:val="right" w:leader="dot" w:pos="9354"/>
          <w:tab w:val="clear" w:pos="9242"/>
        </w:tabs>
        <w:rPr>
          <w:rFonts w:hAnsi="宋体" w:cs="宋体"/>
        </w:rPr>
      </w:pPr>
      <w:r>
        <w:fldChar w:fldCharType="begin"/>
      </w:r>
      <w:r>
        <w:instrText xml:space="preserve"> HYPERLINK \l "_Toc15827" </w:instrText>
      </w:r>
      <w:r>
        <w:fldChar w:fldCharType="separate"/>
      </w:r>
      <w:r>
        <w:rPr>
          <w:rFonts w:hint="eastAsia"/>
        </w:rPr>
        <w:t>8</w:t>
      </w:r>
      <w:r>
        <w:rPr>
          <w:rFonts w:hint="eastAsia" w:hAnsi="宋体" w:cs="宋体"/>
        </w:rPr>
        <w:t xml:space="preserve"> 附录</w:t>
      </w:r>
      <w:r>
        <w:rPr>
          <w:rFonts w:hint="eastAsia" w:hAnsi="宋体" w:cs="宋体"/>
        </w:rPr>
        <w:tab/>
      </w:r>
      <w:r>
        <w:rPr>
          <w:rFonts w:hint="eastAsia" w:hAnsi="宋体" w:cs="宋体"/>
        </w:rPr>
        <w:fldChar w:fldCharType="end"/>
      </w:r>
      <w:r>
        <w:rPr>
          <w:rFonts w:hint="eastAsia" w:hAnsi="宋体" w:cs="宋体"/>
        </w:rPr>
        <w:t>5</w:t>
      </w:r>
    </w:p>
    <w:p>
      <w:pPr>
        <w:pStyle w:val="6"/>
        <w:tabs>
          <w:tab w:val="right" w:leader="dot" w:pos="9354"/>
          <w:tab w:val="clear" w:pos="9242"/>
        </w:tabs>
        <w:spacing w:before="78" w:after="78"/>
        <w:rPr>
          <w:rFonts w:hAnsi="宋体" w:cs="宋体"/>
        </w:rPr>
      </w:pPr>
      <w:r>
        <w:fldChar w:fldCharType="begin"/>
      </w:r>
      <w:r>
        <w:instrText xml:space="preserve"> HYPERLINK \l "_Toc24057" </w:instrText>
      </w:r>
      <w:r>
        <w:fldChar w:fldCharType="separate"/>
      </w:r>
      <w:r>
        <w:rPr>
          <w:rFonts w:hint="eastAsia" w:hAnsi="宋体" w:cs="宋体"/>
        </w:rPr>
        <w:t>附　录　A  修复件质量验收单</w:t>
      </w:r>
      <w:r>
        <w:rPr>
          <w:rFonts w:hint="eastAsia" w:hAnsi="宋体" w:cs="宋体"/>
        </w:rPr>
        <w:tab/>
      </w:r>
      <w:r>
        <w:rPr>
          <w:rFonts w:hint="eastAsia" w:hAnsi="宋体" w:cs="宋体"/>
        </w:rPr>
        <w:fldChar w:fldCharType="end"/>
      </w:r>
      <w:r>
        <w:rPr>
          <w:rFonts w:hint="eastAsia" w:hAnsi="宋体" w:cs="宋体"/>
        </w:rPr>
        <w:t>5</w:t>
      </w:r>
    </w:p>
    <w:p>
      <w:pPr>
        <w:pStyle w:val="6"/>
        <w:tabs>
          <w:tab w:val="right" w:leader="dot" w:pos="9354"/>
          <w:tab w:val="clear" w:pos="9242"/>
        </w:tabs>
        <w:spacing w:before="78" w:after="78"/>
        <w:rPr>
          <w:rFonts w:hAnsi="宋体" w:cs="宋体"/>
        </w:rPr>
      </w:pPr>
      <w:r>
        <w:fldChar w:fldCharType="begin"/>
      </w:r>
      <w:r>
        <w:instrText xml:space="preserve"> HYPERLINK \l "_Toc30096" </w:instrText>
      </w:r>
      <w:r>
        <w:fldChar w:fldCharType="separate"/>
      </w:r>
      <w:r>
        <w:rPr>
          <w:rFonts w:hint="eastAsia" w:hAnsi="宋体" w:cs="宋体"/>
        </w:rPr>
        <w:t>附　录　B  修复件和周转件入库清单</w:t>
      </w:r>
      <w:r>
        <w:rPr>
          <w:rFonts w:hint="eastAsia" w:hAnsi="宋体" w:cs="宋体"/>
        </w:rPr>
        <w:tab/>
      </w:r>
      <w:r>
        <w:rPr>
          <w:rFonts w:hint="eastAsia" w:hAnsi="宋体" w:cs="宋体"/>
        </w:rPr>
        <w:fldChar w:fldCharType="end"/>
      </w:r>
      <w:r>
        <w:rPr>
          <w:rFonts w:hint="eastAsia" w:hAnsi="宋体" w:cs="宋体"/>
        </w:rPr>
        <w:t>6</w:t>
      </w:r>
    </w:p>
    <w:p>
      <w:pPr>
        <w:pStyle w:val="6"/>
        <w:tabs>
          <w:tab w:val="right" w:leader="dot" w:pos="9354"/>
          <w:tab w:val="clear" w:pos="9242"/>
        </w:tabs>
        <w:spacing w:before="78" w:after="78"/>
        <w:rPr>
          <w:rFonts w:hAnsi="宋体" w:cs="宋体"/>
        </w:rPr>
      </w:pPr>
    </w:p>
    <w:p>
      <w:pPr>
        <w:rPr>
          <w:rFonts w:hAnsi="宋体" w:cs="宋体"/>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r>
        <w:rPr>
          <w:rFonts w:hint="eastAsia" w:ascii="黑体" w:hAnsi="黑体" w:eastAsia="黑体" w:cs="黑体"/>
          <w:sz w:val="32"/>
          <w:szCs w:val="32"/>
        </w:rPr>
        <w:br w:type="page"/>
      </w:r>
    </w:p>
    <w:p>
      <w:pPr>
        <w:pStyle w:val="25"/>
        <w:ind w:firstLine="0" w:firstLineChars="0"/>
        <w:jc w:val="left"/>
        <w:rPr>
          <w:rFonts w:ascii="黑体" w:hAnsi="黑体" w:eastAsia="黑体" w:cs="黑体"/>
          <w:sz w:val="32"/>
          <w:szCs w:val="32"/>
        </w:rPr>
      </w:pPr>
    </w:p>
    <w:p>
      <w:pPr>
        <w:widowControl/>
        <w:tabs>
          <w:tab w:val="center" w:pos="4201"/>
          <w:tab w:val="right" w:leader="dot" w:pos="9298"/>
        </w:tabs>
        <w:autoSpaceDE w:val="0"/>
        <w:autoSpaceDN w:val="0"/>
        <w:jc w:val="center"/>
        <w:outlineLvl w:val="0"/>
        <w:rPr>
          <w:rStyle w:val="12"/>
        </w:rPr>
      </w:pPr>
      <w:bookmarkStart w:id="5" w:name="_Toc26029"/>
      <w:r>
        <w:rPr>
          <w:rFonts w:hint="eastAsia" w:ascii="黑体" w:hAnsi="黑体" w:eastAsia="黑体"/>
          <w:kern w:val="0"/>
          <w:sz w:val="32"/>
          <w:szCs w:val="32"/>
        </w:rPr>
        <w:t>前</w:t>
      </w:r>
      <w:r>
        <w:rPr>
          <w:rFonts w:hint="eastAsia" w:ascii="黑体" w:hAnsi="黑体" w:eastAsia="黑体" w:cs="MS Mincho"/>
          <w:kern w:val="0"/>
          <w:sz w:val="32"/>
          <w:szCs w:val="32"/>
        </w:rPr>
        <w:t>  </w:t>
      </w:r>
      <w:r>
        <w:rPr>
          <w:rFonts w:hint="eastAsia" w:ascii="黑体" w:hAnsi="黑体" w:eastAsia="黑体"/>
          <w:kern w:val="0"/>
          <w:sz w:val="32"/>
          <w:szCs w:val="32"/>
        </w:rPr>
        <w:t>言</w:t>
      </w:r>
      <w:bookmarkEnd w:id="5"/>
    </w:p>
    <w:p>
      <w:pPr>
        <w:pStyle w:val="25"/>
        <w:ind w:firstLine="0" w:firstLineChars="0"/>
        <w:jc w:val="left"/>
        <w:rPr>
          <w:rFonts w:ascii="黑体" w:hAnsi="黑体" w:eastAsia="黑体" w:cs="黑体"/>
          <w:sz w:val="32"/>
          <w:szCs w:val="32"/>
        </w:rPr>
      </w:pPr>
    </w:p>
    <w:p>
      <w:pPr>
        <w:pStyle w:val="25"/>
      </w:pPr>
      <w:r>
        <w:rPr>
          <w:rFonts w:hint="eastAsia"/>
        </w:rPr>
        <w:t xml:space="preserve">本标准规定了郑州地铁集团有限公司运营分公司修复件和周转件的管理要求。 </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hAnsi="宋体"/>
          <w:szCs w:val="20"/>
        </w:rPr>
        <w:t>—</w:t>
      </w:r>
      <w:r>
        <w:rPr>
          <w:rFonts w:hint="eastAsia" w:ascii="宋体"/>
          <w:kern w:val="0"/>
          <w:szCs w:val="20"/>
        </w:rPr>
        <w:t>本标准由郑州地铁集团有限公司运营分公司提出。</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—本标准由郑州地铁集团有限公司运营分公司物资管理部起草、解释。</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—本标准由郑州地铁集团有限公司物资管理部组织汇审。</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—本标准主要起草人：江先淮 李彦奎 王敬宇 王红义</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—本标准主要审核人：商丽娜</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—本标准主要签发人：郝晓平</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—本标准第一版。</w:t>
      </w: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sectPr>
          <w:headerReference r:id="rId4" w:type="default"/>
          <w:footerReference r:id="rId5" w:type="default"/>
          <w:pgSz w:w="11906" w:h="16838"/>
          <w:pgMar w:top="567" w:right="1134" w:bottom="1134" w:left="1418" w:header="1418" w:footer="1134" w:gutter="0"/>
          <w:pgNumType w:fmt="upperRoman" w:start="1"/>
          <w:cols w:space="720" w:num="1"/>
          <w:docGrid w:type="lines" w:linePitch="312" w:charSpace="0"/>
        </w:sectPr>
      </w:pPr>
    </w:p>
    <w:bookmarkEnd w:id="1"/>
    <w:bookmarkEnd w:id="2"/>
    <w:bookmarkEnd w:id="3"/>
    <w:p>
      <w:pPr>
        <w:pStyle w:val="25"/>
        <w:ind w:firstLine="0" w:firstLineChars="0"/>
        <w:jc w:val="center"/>
        <w:rPr>
          <w:rFonts w:eastAsia="黑体"/>
        </w:rPr>
      </w:pPr>
      <w:r>
        <w:rPr>
          <w:rFonts w:hint="eastAsia" w:ascii="黑体" w:eastAsia="黑体"/>
          <w:sz w:val="32"/>
        </w:rPr>
        <w:t>修复件和周转件管理细则</w:t>
      </w:r>
    </w:p>
    <w:p>
      <w:pPr>
        <w:pStyle w:val="27"/>
        <w:spacing w:before="312" w:after="312"/>
        <w:jc w:val="left"/>
      </w:pPr>
      <w:bookmarkStart w:id="6" w:name="_Toc2345"/>
      <w:bookmarkStart w:id="7" w:name="_Toc21451"/>
      <w:bookmarkStart w:id="8" w:name="_Toc11536"/>
      <w:bookmarkStart w:id="9" w:name="_Toc26955"/>
      <w:bookmarkStart w:id="10" w:name="_Toc16480"/>
      <w:bookmarkStart w:id="11" w:name="_Toc648"/>
      <w:bookmarkStart w:id="12" w:name="_Toc27168"/>
      <w:bookmarkStart w:id="13" w:name="_Toc22716"/>
      <w:bookmarkStart w:id="14" w:name="_Toc11000"/>
      <w:bookmarkStart w:id="15" w:name="_Toc24034"/>
      <w:bookmarkStart w:id="16" w:name="_Toc7005"/>
      <w:r>
        <w:rPr>
          <w:rFonts w:hint="eastAsia"/>
        </w:rPr>
        <w:t>范围</w:t>
      </w:r>
      <w:bookmarkEnd w:id="6"/>
      <w:bookmarkEnd w:id="7"/>
      <w:bookmarkEnd w:id="8"/>
      <w:bookmarkEnd w:id="9"/>
      <w:bookmarkEnd w:id="10"/>
      <w:bookmarkEnd w:id="11"/>
      <w:bookmarkEnd w:id="12"/>
      <w:bookmarkEnd w:id="13"/>
      <w:bookmarkEnd w:id="14"/>
      <w:bookmarkEnd w:id="15"/>
      <w:bookmarkEnd w:id="16"/>
    </w:p>
    <w:p>
      <w:pPr>
        <w:pStyle w:val="25"/>
        <w:jc w:val="left"/>
        <w:rPr>
          <w:rFonts w:hAnsi="宋体"/>
          <w:szCs w:val="21"/>
        </w:rPr>
      </w:pPr>
      <w:r>
        <w:rPr>
          <w:rFonts w:hint="eastAsia" w:hAnsi="宋体"/>
          <w:szCs w:val="21"/>
        </w:rPr>
        <w:t>为</w:t>
      </w:r>
      <w:r>
        <w:rPr>
          <w:rFonts w:hAnsi="宋体" w:cs="仿宋_GB2312"/>
          <w:szCs w:val="21"/>
        </w:rPr>
        <w:t>规范</w:t>
      </w:r>
      <w:r>
        <w:rPr>
          <w:rFonts w:hint="eastAsia" w:hAnsi="宋体"/>
          <w:szCs w:val="21"/>
        </w:rPr>
        <w:t>郑州地铁集团有限公司运营分公司（以下简称“分公司”）</w:t>
      </w:r>
      <w:r>
        <w:rPr>
          <w:rFonts w:hint="eastAsia" w:hAnsi="宋体" w:cs="仿宋_GB2312"/>
          <w:szCs w:val="21"/>
        </w:rPr>
        <w:t>修复件和周转件管理工作，特制定本细则。</w:t>
      </w:r>
    </w:p>
    <w:p>
      <w:pPr>
        <w:pStyle w:val="25"/>
        <w:jc w:val="left"/>
      </w:pPr>
      <w:r>
        <w:rPr>
          <w:rFonts w:hint="eastAsia"/>
        </w:rPr>
        <w:t>本细则适用于分公司修复件和周转件管理工作。</w:t>
      </w:r>
    </w:p>
    <w:p>
      <w:pPr>
        <w:pStyle w:val="27"/>
        <w:spacing w:before="312" w:after="312"/>
        <w:jc w:val="left"/>
      </w:pPr>
      <w:bookmarkStart w:id="17" w:name="_Toc31125"/>
      <w:bookmarkStart w:id="18" w:name="_Toc5626"/>
      <w:bookmarkStart w:id="19" w:name="_Toc2753"/>
      <w:bookmarkStart w:id="20" w:name="_Toc21379"/>
      <w:bookmarkStart w:id="21" w:name="_Toc20251"/>
      <w:bookmarkStart w:id="22" w:name="_Toc16756"/>
      <w:bookmarkStart w:id="23" w:name="_Toc22671"/>
      <w:bookmarkStart w:id="24" w:name="_Toc13115"/>
      <w:bookmarkStart w:id="25" w:name="_Toc1647"/>
      <w:bookmarkStart w:id="26" w:name="_Toc29385"/>
      <w:bookmarkStart w:id="27" w:name="_Toc17005"/>
      <w:r>
        <w:rPr>
          <w:rFonts w:hint="eastAsia"/>
        </w:rPr>
        <w:t>规范性引用文件</w:t>
      </w:r>
      <w:bookmarkEnd w:id="17"/>
      <w:bookmarkEnd w:id="18"/>
      <w:bookmarkEnd w:id="19"/>
      <w:bookmarkEnd w:id="20"/>
      <w:bookmarkEnd w:id="21"/>
      <w:bookmarkEnd w:id="22"/>
      <w:bookmarkEnd w:id="23"/>
      <w:bookmarkEnd w:id="24"/>
      <w:bookmarkEnd w:id="25"/>
      <w:bookmarkEnd w:id="26"/>
      <w:bookmarkEnd w:id="27"/>
    </w:p>
    <w:p>
      <w:pPr>
        <w:pStyle w:val="25"/>
        <w:jc w:val="left"/>
      </w:pPr>
      <w:r>
        <w:rPr>
          <w:rFonts w:hint="eastAsia"/>
        </w:rPr>
        <w:t>下列文件对于本文件的应用是必不可少的。凡是注日期的引用文件，仅所注日期的版本适用于本文件。凡是不注日期的引用文件，其最新版本（包括所有的修改单）适用于本文件。</w:t>
      </w:r>
    </w:p>
    <w:p>
      <w:pPr>
        <w:ind w:firstLine="420" w:firstLineChars="200"/>
        <w:jc w:val="left"/>
      </w:pPr>
      <w:r>
        <w:rPr>
          <w:rFonts w:hint="eastAsia"/>
        </w:rPr>
        <w:t>《郑州地铁集团有限公司运营分公司实物资产管理办法》</w:t>
      </w:r>
    </w:p>
    <w:p>
      <w:pPr>
        <w:ind w:firstLine="420" w:firstLineChars="200"/>
        <w:jc w:val="left"/>
      </w:pPr>
      <w:r>
        <w:rPr>
          <w:rFonts w:hint="eastAsia"/>
        </w:rPr>
        <w:t>《郑州地铁集团有限公司运营分公司物资仓储管理办法》</w:t>
      </w:r>
    </w:p>
    <w:p>
      <w:pPr>
        <w:ind w:firstLine="420" w:firstLineChars="200"/>
        <w:jc w:val="left"/>
      </w:pPr>
      <w:r>
        <w:rPr>
          <w:rFonts w:hint="eastAsia"/>
        </w:rPr>
        <w:t>《郑州地铁集团有限公司运营分公司二级仓库管理规定》</w:t>
      </w:r>
    </w:p>
    <w:p>
      <w:pPr>
        <w:ind w:firstLine="420" w:firstLineChars="200"/>
        <w:jc w:val="left"/>
        <w:rPr>
          <w:rFonts w:ascii="宋体" w:hAnsi="宋体" w:cs="黑体"/>
          <w:szCs w:val="21"/>
        </w:rPr>
      </w:pPr>
      <w:r>
        <w:rPr>
          <w:rFonts w:hint="eastAsia" w:ascii="宋体" w:hAnsi="宋体" w:cs="黑体"/>
          <w:szCs w:val="21"/>
        </w:rPr>
        <w:t>《郑州地铁集团有限公司运营分公司物资管理考核细则》</w:t>
      </w:r>
    </w:p>
    <w:p>
      <w:pPr>
        <w:ind w:firstLine="420" w:firstLineChars="200"/>
        <w:jc w:val="left"/>
        <w:rPr>
          <w:rFonts w:ascii="宋体" w:hAnsi="宋体" w:cs="黑体"/>
          <w:szCs w:val="21"/>
        </w:rPr>
      </w:pPr>
      <w:r>
        <w:rPr>
          <w:rFonts w:hint="eastAsia" w:ascii="宋体" w:hAnsi="宋体" w:cs="黑体"/>
          <w:szCs w:val="21"/>
        </w:rPr>
        <w:t>《郑州地铁集团有限公司运营分公司高价周转件管理细则》</w:t>
      </w:r>
    </w:p>
    <w:p>
      <w:pPr>
        <w:pStyle w:val="27"/>
        <w:spacing w:before="312" w:after="312"/>
        <w:jc w:val="left"/>
      </w:pPr>
      <w:bookmarkStart w:id="28" w:name="_Toc30921"/>
      <w:bookmarkStart w:id="29" w:name="_Toc9054"/>
      <w:bookmarkStart w:id="30" w:name="_Toc7026"/>
      <w:bookmarkStart w:id="31" w:name="_Toc25638"/>
      <w:bookmarkStart w:id="32" w:name="_Toc30587"/>
      <w:bookmarkStart w:id="33" w:name="_Toc5990"/>
      <w:bookmarkStart w:id="34" w:name="_Toc6020"/>
      <w:bookmarkStart w:id="35" w:name="_Toc24722"/>
      <w:bookmarkStart w:id="36" w:name="_Toc26487"/>
      <w:bookmarkStart w:id="37" w:name="_Toc23459"/>
      <w:bookmarkStart w:id="38" w:name="_Toc15516"/>
      <w:bookmarkStart w:id="39" w:name="_Toc3572"/>
      <w:bookmarkStart w:id="40" w:name="_Toc29980"/>
      <w:bookmarkStart w:id="41" w:name="_Toc10032"/>
      <w:bookmarkStart w:id="42" w:name="_Toc28286"/>
      <w:bookmarkStart w:id="43" w:name="_Toc8950"/>
      <w:bookmarkStart w:id="44" w:name="_Toc6069"/>
      <w:bookmarkStart w:id="45" w:name="_Toc18021"/>
      <w:bookmarkStart w:id="46" w:name="_Toc11508"/>
      <w:bookmarkStart w:id="47" w:name="_Toc1668"/>
      <w:bookmarkStart w:id="48" w:name="_Toc14057"/>
      <w:bookmarkStart w:id="49" w:name="_Toc15897"/>
      <w:r>
        <w:rPr>
          <w:rFonts w:hint="eastAsia"/>
        </w:rPr>
        <w:t>术语和定义</w:t>
      </w:r>
      <w:bookmarkEnd w:id="28"/>
      <w:bookmarkEnd w:id="29"/>
      <w:bookmarkEnd w:id="30"/>
      <w:bookmarkEnd w:id="31"/>
      <w:bookmarkEnd w:id="32"/>
      <w:bookmarkEnd w:id="33"/>
      <w:bookmarkEnd w:id="34"/>
      <w:bookmarkEnd w:id="35"/>
      <w:bookmarkEnd w:id="36"/>
      <w:bookmarkEnd w:id="37"/>
      <w:bookmarkEnd w:id="38"/>
      <w:r>
        <w:rPr>
          <w:rFonts w:hint="eastAsia"/>
        </w:rPr>
        <w:t xml:space="preserve"> </w:t>
      </w:r>
    </w:p>
    <w:p>
      <w:pPr>
        <w:pStyle w:val="28"/>
        <w:spacing w:before="156" w:after="156"/>
        <w:outlineLvl w:val="1"/>
      </w:pPr>
      <w:bookmarkStart w:id="50" w:name="_Toc408922818"/>
      <w:bookmarkStart w:id="51" w:name="_Toc404178929"/>
      <w:bookmarkStart w:id="52" w:name="_Toc404178933"/>
      <w:bookmarkStart w:id="53" w:name="_Toc408922822"/>
      <w:r>
        <w:rPr>
          <w:rFonts w:hint="eastAsia"/>
        </w:rPr>
        <w:t>修复件</w:t>
      </w:r>
    </w:p>
    <w:p>
      <w:pPr>
        <w:pStyle w:val="25"/>
        <w:spacing w:before="156" w:after="156"/>
        <w:rPr>
          <w:rFonts w:ascii="黑体" w:hAnsi="黑体"/>
        </w:rPr>
      </w:pPr>
      <w:r>
        <w:rPr>
          <w:rFonts w:hint="eastAsia" w:ascii="黑体" w:hAnsi="黑体"/>
        </w:rPr>
        <w:t>修复件是指运营分公司各中心在开展维修生产过程中更换下来且处于故障状态，经维修后可重复利用的配件。</w:t>
      </w:r>
    </w:p>
    <w:bookmarkEnd w:id="50"/>
    <w:bookmarkEnd w:id="51"/>
    <w:p>
      <w:pPr>
        <w:pStyle w:val="28"/>
        <w:spacing w:before="156" w:after="156"/>
        <w:outlineLvl w:val="1"/>
      </w:pPr>
      <w:bookmarkStart w:id="54" w:name="_Toc24225"/>
      <w:bookmarkStart w:id="55" w:name="_Toc1334"/>
      <w:bookmarkStart w:id="56" w:name="_Toc22391"/>
      <w:bookmarkStart w:id="57" w:name="_Toc26772"/>
      <w:bookmarkStart w:id="58" w:name="_Toc22944"/>
      <w:bookmarkStart w:id="59" w:name="_Toc14617"/>
      <w:bookmarkStart w:id="60" w:name="_Toc3024"/>
      <w:bookmarkStart w:id="61" w:name="_Toc16598"/>
      <w:r>
        <w:rPr>
          <w:rFonts w:hint="eastAsia"/>
        </w:rPr>
        <w:t>周转件</w:t>
      </w:r>
    </w:p>
    <w:p>
      <w:pPr>
        <w:pStyle w:val="25"/>
        <w:spacing w:before="156" w:after="156"/>
        <w:rPr>
          <w:rFonts w:hAnsi="宋体" w:cs="宋体"/>
        </w:rPr>
      </w:pPr>
      <w:r>
        <w:rPr>
          <w:rFonts w:hint="eastAsia" w:ascii="黑体" w:hAnsi="黑体"/>
        </w:rPr>
        <w:t>周转件是指因需要定期检测、送检，为了保证运营现场设备不能中断而配备的，可反复使用的配件。</w:t>
      </w:r>
    </w:p>
    <w:bookmarkEnd w:id="52"/>
    <w:bookmarkEnd w:id="53"/>
    <w:bookmarkEnd w:id="54"/>
    <w:bookmarkEnd w:id="55"/>
    <w:bookmarkEnd w:id="56"/>
    <w:bookmarkEnd w:id="57"/>
    <w:bookmarkEnd w:id="58"/>
    <w:bookmarkEnd w:id="59"/>
    <w:bookmarkEnd w:id="60"/>
    <w:bookmarkEnd w:id="61"/>
    <w:p>
      <w:pPr>
        <w:pStyle w:val="27"/>
        <w:spacing w:before="312" w:after="312"/>
        <w:jc w:val="left"/>
      </w:pPr>
      <w:r>
        <w:rPr>
          <w:rFonts w:hint="eastAsia"/>
        </w:rPr>
        <w:t>职责</w:t>
      </w:r>
      <w:bookmarkEnd w:id="39"/>
      <w:bookmarkEnd w:id="40"/>
      <w:bookmarkEnd w:id="41"/>
      <w:bookmarkEnd w:id="42"/>
      <w:bookmarkEnd w:id="43"/>
      <w:bookmarkEnd w:id="44"/>
      <w:bookmarkEnd w:id="45"/>
      <w:bookmarkEnd w:id="46"/>
      <w:bookmarkEnd w:id="47"/>
      <w:bookmarkEnd w:id="48"/>
      <w:bookmarkEnd w:id="49"/>
    </w:p>
    <w:p>
      <w:pPr>
        <w:pStyle w:val="28"/>
        <w:spacing w:before="156" w:after="156"/>
      </w:pPr>
      <w:r>
        <w:rPr>
          <w:rFonts w:hint="eastAsia"/>
        </w:rPr>
        <w:t>物资管理部</w:t>
      </w:r>
    </w:p>
    <w:p>
      <w:pPr>
        <w:numPr>
          <w:ilvl w:val="2"/>
          <w:numId w:val="1"/>
        </w:numPr>
        <w:spacing w:before="156" w:after="156"/>
        <w:ind w:left="0" w:firstLine="0"/>
        <w:rPr>
          <w:rFonts w:ascii="宋体" w:hAnsi="宋体" w:cs="宋体"/>
        </w:rPr>
      </w:pPr>
      <w:r>
        <w:rPr>
          <w:rFonts w:hint="eastAsia" w:ascii="宋体" w:hAnsi="宋体" w:cs="宋体"/>
        </w:rPr>
        <w:t>负责建立分公司修复件和周转件出入库管理流程和要求。</w:t>
      </w:r>
    </w:p>
    <w:p>
      <w:pPr>
        <w:numPr>
          <w:ilvl w:val="2"/>
          <w:numId w:val="1"/>
        </w:numPr>
        <w:spacing w:before="156" w:after="156"/>
        <w:ind w:left="0" w:firstLine="0"/>
        <w:rPr>
          <w:rFonts w:ascii="宋体" w:hAnsi="宋体" w:cs="黑体"/>
          <w:szCs w:val="21"/>
        </w:rPr>
      </w:pPr>
      <w:r>
        <w:rPr>
          <w:rFonts w:hint="eastAsia" w:ascii="宋体" w:hAnsi="宋体" w:cs="黑体"/>
          <w:szCs w:val="21"/>
        </w:rPr>
        <w:t>负责监督分公司各中心修复件和周转件库存管理，定期组织库存物资盘点。</w:t>
      </w:r>
    </w:p>
    <w:p>
      <w:pPr>
        <w:numPr>
          <w:ilvl w:val="2"/>
          <w:numId w:val="1"/>
        </w:numPr>
        <w:spacing w:before="156" w:after="156"/>
        <w:ind w:left="0" w:firstLine="0"/>
        <w:rPr>
          <w:rFonts w:ascii="宋体" w:hAnsi="宋体" w:cs="黑体"/>
          <w:szCs w:val="21"/>
        </w:rPr>
      </w:pPr>
      <w:r>
        <w:rPr>
          <w:rFonts w:hint="eastAsia" w:ascii="宋体" w:hAnsi="宋体" w:cs="黑体"/>
          <w:szCs w:val="21"/>
        </w:rPr>
        <w:t>负责分公司各中心修复件和周转件系统子库存设置。</w:t>
      </w:r>
    </w:p>
    <w:p>
      <w:pPr>
        <w:pStyle w:val="28"/>
        <w:spacing w:before="156" w:after="156"/>
      </w:pPr>
      <w:bookmarkStart w:id="62" w:name="_Toc4308"/>
      <w:bookmarkStart w:id="63" w:name="_Toc14779"/>
      <w:bookmarkStart w:id="64" w:name="_Toc27057"/>
      <w:bookmarkStart w:id="65" w:name="_Toc16134"/>
      <w:bookmarkStart w:id="66" w:name="_Toc418"/>
      <w:bookmarkStart w:id="67" w:name="_Toc12829"/>
      <w:bookmarkStart w:id="68" w:name="_Toc30372"/>
      <w:bookmarkStart w:id="69" w:name="_Toc27878"/>
      <w:bookmarkStart w:id="70" w:name="_Toc7988"/>
      <w:r>
        <w:rPr>
          <w:rFonts w:hint="eastAsia"/>
        </w:rPr>
        <w:t>技术管理部</w:t>
      </w:r>
    </w:p>
    <w:p>
      <w:pPr>
        <w:numPr>
          <w:ilvl w:val="0"/>
          <w:numId w:val="0"/>
        </w:numPr>
        <w:spacing w:before="156" w:after="156"/>
        <w:ind w:left="0" w:firstLine="525" w:firstLineChars="250"/>
      </w:pPr>
      <w:r>
        <w:rPr>
          <w:rFonts w:hint="eastAsia"/>
        </w:rPr>
        <w:t>牵头组织各生产中心制定本中心周转件清单，组织分公司技委会审议周转件清单；根据各中心周转件清单制定分公司周转件清单，并发物资管理部备案。</w:t>
      </w:r>
    </w:p>
    <w:p>
      <w:pPr>
        <w:pStyle w:val="28"/>
        <w:spacing w:before="156" w:after="156"/>
      </w:pPr>
      <w:r>
        <w:rPr>
          <w:rFonts w:hint="eastAsia"/>
        </w:rPr>
        <w:t>财务部</w:t>
      </w:r>
    </w:p>
    <w:p>
      <w:pPr>
        <w:numPr>
          <w:ilvl w:val="255"/>
          <w:numId w:val="0"/>
        </w:numPr>
        <w:spacing w:before="156" w:after="156"/>
        <w:ind w:firstLine="420" w:firstLineChars="200"/>
      </w:pPr>
      <w:r>
        <w:rPr>
          <w:rFonts w:hint="eastAsia"/>
        </w:rPr>
        <w:t>负责对分公司周转件目录进行资产属性判定。</w:t>
      </w:r>
    </w:p>
    <w:p>
      <w:pPr>
        <w:pStyle w:val="28"/>
        <w:spacing w:before="156" w:after="156"/>
      </w:pPr>
      <w:r>
        <w:rPr>
          <w:rFonts w:hint="eastAsia"/>
        </w:rPr>
        <w:t>各</w:t>
      </w:r>
      <w:bookmarkEnd w:id="62"/>
      <w:bookmarkEnd w:id="63"/>
      <w:bookmarkEnd w:id="64"/>
      <w:bookmarkEnd w:id="65"/>
      <w:bookmarkEnd w:id="66"/>
      <w:bookmarkEnd w:id="67"/>
      <w:bookmarkEnd w:id="68"/>
      <w:bookmarkEnd w:id="69"/>
      <w:bookmarkEnd w:id="70"/>
      <w:r>
        <w:rPr>
          <w:rFonts w:hint="eastAsia"/>
        </w:rPr>
        <w:t>中心（部门）</w:t>
      </w:r>
    </w:p>
    <w:p>
      <w:pPr>
        <w:numPr>
          <w:ilvl w:val="2"/>
          <w:numId w:val="1"/>
        </w:numPr>
        <w:spacing w:before="156" w:after="156"/>
        <w:ind w:left="0" w:firstLine="0"/>
        <w:rPr>
          <w:rFonts w:ascii="宋体" w:hAnsi="宋体" w:cs="黑体"/>
          <w:szCs w:val="21"/>
        </w:rPr>
      </w:pPr>
      <w:r>
        <w:rPr>
          <w:rFonts w:hint="eastAsia" w:ascii="宋体" w:hAnsi="宋体" w:cs="黑体"/>
          <w:szCs w:val="21"/>
        </w:rPr>
        <w:t>负责建立本中心修复件和周转件管理流程和要求。</w:t>
      </w:r>
    </w:p>
    <w:p>
      <w:pPr>
        <w:numPr>
          <w:ilvl w:val="2"/>
          <w:numId w:val="1"/>
        </w:numPr>
        <w:spacing w:before="156" w:after="156"/>
        <w:ind w:left="0" w:firstLine="0"/>
        <w:rPr>
          <w:rFonts w:ascii="宋体" w:hAnsi="宋体" w:cs="黑体"/>
          <w:szCs w:val="21"/>
        </w:rPr>
      </w:pPr>
      <w:r>
        <w:rPr>
          <w:rFonts w:hint="eastAsia" w:ascii="宋体" w:hAnsi="宋体" w:cs="黑体"/>
          <w:szCs w:val="21"/>
        </w:rPr>
        <w:t>负责编制本中心周转件清单，并提报分公司技委会审核，根据审核结果确定周转件清单，报技术管理部备案。</w:t>
      </w:r>
    </w:p>
    <w:p>
      <w:pPr>
        <w:numPr>
          <w:ilvl w:val="2"/>
          <w:numId w:val="1"/>
        </w:numPr>
        <w:spacing w:before="156" w:after="156"/>
        <w:ind w:left="0" w:firstLine="0"/>
        <w:rPr>
          <w:rFonts w:ascii="宋体" w:hAnsi="宋体" w:cs="黑体"/>
          <w:szCs w:val="21"/>
        </w:rPr>
      </w:pPr>
      <w:r>
        <w:rPr>
          <w:rFonts w:hint="eastAsia" w:ascii="宋体" w:hAnsi="宋体" w:cs="黑体"/>
          <w:szCs w:val="21"/>
        </w:rPr>
        <w:t>按照分公司修复件质量验收的标准及流程开展修复件验收，形成验收单。</w:t>
      </w:r>
    </w:p>
    <w:p>
      <w:pPr>
        <w:numPr>
          <w:ilvl w:val="2"/>
          <w:numId w:val="1"/>
        </w:numPr>
        <w:spacing w:before="156" w:after="156"/>
        <w:ind w:left="0" w:firstLine="0"/>
        <w:rPr>
          <w:rFonts w:ascii="宋体" w:hAnsi="宋体" w:cs="黑体"/>
          <w:szCs w:val="21"/>
        </w:rPr>
      </w:pPr>
      <w:r>
        <w:rPr>
          <w:rFonts w:hint="eastAsia" w:ascii="宋体" w:hAnsi="宋体" w:cs="黑体"/>
          <w:szCs w:val="21"/>
        </w:rPr>
        <w:t>负责本中心修复件和周转件系统出入库操作，定期开展库存物资盘点。</w:t>
      </w:r>
    </w:p>
    <w:p>
      <w:pPr>
        <w:numPr>
          <w:ilvl w:val="2"/>
          <w:numId w:val="1"/>
        </w:numPr>
        <w:spacing w:before="156" w:after="156"/>
        <w:ind w:left="0" w:firstLine="0"/>
        <w:rPr>
          <w:rFonts w:ascii="宋体" w:hAnsi="宋体" w:cs="黑体"/>
          <w:szCs w:val="21"/>
        </w:rPr>
      </w:pPr>
      <w:r>
        <w:rPr>
          <w:rFonts w:hint="eastAsia" w:ascii="宋体" w:hAnsi="宋体" w:cs="黑体"/>
          <w:szCs w:val="21"/>
        </w:rPr>
        <w:t>负责本中心修复件和周转件存放位置选定和变更，并进行系统货位设置。</w:t>
      </w:r>
    </w:p>
    <w:p>
      <w:pPr>
        <w:numPr>
          <w:ilvl w:val="2"/>
          <w:numId w:val="1"/>
        </w:numPr>
        <w:spacing w:before="156" w:after="156"/>
        <w:ind w:left="0" w:firstLine="0"/>
        <w:rPr>
          <w:rFonts w:ascii="宋体" w:hAnsi="宋体" w:cs="黑体"/>
          <w:szCs w:val="21"/>
        </w:rPr>
      </w:pPr>
      <w:r>
        <w:rPr>
          <w:rFonts w:hint="eastAsia" w:ascii="宋体" w:hAnsi="宋体" w:cs="黑体"/>
          <w:szCs w:val="21"/>
        </w:rPr>
        <w:t>负责本中心修复件和周转件物资的现场和安全管理，做好库存物资的存储、保养。</w:t>
      </w:r>
    </w:p>
    <w:p>
      <w:pPr>
        <w:pStyle w:val="27"/>
        <w:spacing w:before="312" w:after="312"/>
        <w:jc w:val="left"/>
        <w:rPr>
          <w:rFonts w:eastAsia="宋体"/>
        </w:rPr>
      </w:pPr>
      <w:bookmarkStart w:id="71" w:name="_Toc15978"/>
      <w:bookmarkStart w:id="72" w:name="_Toc421887586"/>
      <w:bookmarkStart w:id="73" w:name="_Toc14229"/>
      <w:bookmarkStart w:id="74" w:name="_Toc422217181"/>
      <w:bookmarkStart w:id="75" w:name="_Toc422400983"/>
      <w:bookmarkStart w:id="76" w:name="_Toc426643803"/>
      <w:bookmarkStart w:id="77" w:name="_Toc9956"/>
      <w:bookmarkStart w:id="78" w:name="_Toc420594500"/>
      <w:bookmarkStart w:id="79" w:name="_Toc5717"/>
      <w:bookmarkStart w:id="80" w:name="_Toc421529606"/>
      <w:bookmarkStart w:id="81" w:name="_Toc422400939"/>
      <w:bookmarkStart w:id="82" w:name="_Toc6500"/>
      <w:bookmarkStart w:id="83" w:name="_Toc31804"/>
      <w:bookmarkStart w:id="84" w:name="_Toc420594699"/>
      <w:bookmarkStart w:id="85" w:name="_Toc420594594"/>
      <w:bookmarkStart w:id="86" w:name="_Toc24862"/>
      <w:bookmarkStart w:id="87" w:name="_Toc31719"/>
      <w:bookmarkStart w:id="88" w:name="_Toc32365"/>
      <w:bookmarkStart w:id="89" w:name="_Toc8878"/>
      <w:bookmarkStart w:id="90" w:name="_Toc12203"/>
      <w:bookmarkStart w:id="91" w:name="_Toc422401070"/>
      <w:bookmarkStart w:id="92" w:name="_Toc422401372"/>
      <w:r>
        <w:rPr>
          <w:rFonts w:hint="eastAsia"/>
        </w:rPr>
        <w:t>管理流程</w:t>
      </w:r>
    </w:p>
    <w:p>
      <w:pPr>
        <w:pStyle w:val="28"/>
        <w:spacing w:before="156" w:after="156"/>
      </w:pPr>
      <w:r>
        <w:rPr>
          <w:rFonts w:hint="eastAsia"/>
        </w:rPr>
        <w:t>修复件</w:t>
      </w:r>
    </w:p>
    <w:p>
      <w:pPr>
        <w:pStyle w:val="25"/>
        <w:jc w:val="left"/>
      </w:pPr>
      <w:r>
        <w:rPr>
          <w:rFonts w:hint="eastAsia"/>
        </w:rPr>
        <w:t>各中心对维修生产过程中更换产生的故障件，未达到分公司《实物资产管理办法》报废标准时，应开展维修，并根据修复情况对验收合格的物资办理入库，对无法修复和验收不合格的物资进行报废。修复件管理流程如下。</w:t>
      </w:r>
    </w:p>
    <w:p>
      <w:pPr>
        <w:pStyle w:val="25"/>
        <w:jc w:val="center"/>
      </w:pPr>
      <w:r>
        <w:object>
          <v:shape id="_x0000_i1025" o:spt="75" type="#_x0000_t75" style="height:345pt;width:234.75pt;" o:ole="t" filled="f" o:preferrelative="t" stroked="f" coordsize="21600,21600">
            <v:path/>
            <v:fill on="f" focussize="0,0"/>
            <v:stroke on="f"/>
            <v:imagedata r:id="rId11" o:title=""/>
            <o:lock v:ext="edit" aspectratio="f"/>
            <w10:wrap type="none"/>
            <w10:anchorlock/>
          </v:shape>
          <o:OLEObject Type="Embed" ProgID="Visio.Drawing.11" ShapeID="_x0000_i1025" DrawAspect="Content" ObjectID="_1468075725" r:id="rId10">
            <o:LockedField>false</o:LockedField>
          </o:OLEObject>
        </w:object>
      </w:r>
    </w:p>
    <w:p>
      <w:pPr>
        <w:pStyle w:val="28"/>
        <w:spacing w:before="156" w:after="156"/>
      </w:pPr>
      <w:r>
        <w:rPr>
          <w:rFonts w:hint="eastAsia"/>
        </w:rPr>
        <w:t>周转件</w:t>
      </w:r>
    </w:p>
    <w:p>
      <w:pPr>
        <w:pStyle w:val="25"/>
        <w:ind w:firstLine="420" w:firstLineChars="200"/>
        <w:rPr>
          <w:rFonts w:hint="eastAsia"/>
        </w:rPr>
      </w:pPr>
      <w:r>
        <w:rPr>
          <w:rFonts w:hint="eastAsia"/>
        </w:rPr>
        <w:t>各中心编制本中心周转件清单并报技术管理部初审，初审后，各中心提报分公司技委会审核，各中心根据技委会审核结果进行修订，并将终稿发技术管理部备案，技术管理部整理各中心周转件清单，形成分公司周转件清单，并发给物资管理部备案。</w:t>
      </w:r>
    </w:p>
    <w:p>
      <w:pPr>
        <w:pStyle w:val="25"/>
      </w:pPr>
      <w:r>
        <w:rPr>
          <w:rFonts w:hint="eastAsia"/>
        </w:rPr>
        <w:t>各中心按照清单，梳理实物库存办理入库，根据生产需求使用出库，对替换下的功能正常周转件办理入库，功能异常周转件办理报废，并及时进行补库。周转件管理流程如下。</w:t>
      </w:r>
    </w:p>
    <w:p>
      <w:pPr>
        <w:pStyle w:val="25"/>
        <w:jc w:val="center"/>
        <w:rPr>
          <w:rFonts w:hAnsi="宋体" w:cs="黑体"/>
          <w:szCs w:val="21"/>
        </w:rPr>
      </w:pPr>
      <w:r>
        <w:rPr>
          <w:rFonts w:hint="eastAsia" w:hAnsi="宋体" w:cs="黑体"/>
          <w:szCs w:val="21"/>
        </w:rPr>
        <w:object>
          <v:shape id="_x0000_i1026" o:spt="75" type="#_x0000_t75" style="height:288.75pt;width:257.25pt;" o:ole="t" filled="f" o:preferrelative="t" stroked="f" coordsize="21600,21600">
            <v:path/>
            <v:fill on="f" focussize="0,0"/>
            <v:stroke on="f"/>
            <v:imagedata r:id="rId13" o:title=""/>
            <o:lock v:ext="edit" aspectratio="f"/>
            <w10:wrap type="none"/>
            <w10:anchorlock/>
          </v:shape>
          <o:OLEObject Type="Embed" ProgID="Visio.Drawing.11" ShapeID="_x0000_i1026" DrawAspect="Content" ObjectID="_1468075726" r:id="rId12">
            <o:LockedField>false</o:LockedField>
          </o:OLEObject>
        </w:object>
      </w:r>
    </w:p>
    <w:p>
      <w:pPr>
        <w:pStyle w:val="27"/>
        <w:spacing w:before="312" w:after="312"/>
        <w:jc w:val="left"/>
        <w:rPr>
          <w:rFonts w:eastAsia="宋体"/>
        </w:rPr>
      </w:pPr>
      <w:r>
        <w:rPr>
          <w:rFonts w:hint="eastAsia"/>
        </w:rPr>
        <w:t>内容及要求</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Start w:id="93" w:name="_Toc10423"/>
      <w:bookmarkStart w:id="94" w:name="_Toc20682"/>
      <w:bookmarkStart w:id="95" w:name="_Toc7256"/>
      <w:bookmarkStart w:id="96" w:name="_Toc24500"/>
      <w:bookmarkStart w:id="97" w:name="_Toc4595"/>
      <w:bookmarkStart w:id="98" w:name="_Toc22667"/>
      <w:bookmarkStart w:id="99" w:name="_Toc14323"/>
      <w:bookmarkStart w:id="100" w:name="_Toc16548"/>
      <w:bookmarkStart w:id="101" w:name="_Toc23164"/>
      <w:bookmarkStart w:id="102" w:name="_Toc404178979"/>
      <w:bookmarkStart w:id="103" w:name="_Toc408922862"/>
    </w:p>
    <w:bookmarkEnd w:id="93"/>
    <w:bookmarkEnd w:id="94"/>
    <w:bookmarkEnd w:id="95"/>
    <w:bookmarkEnd w:id="96"/>
    <w:bookmarkEnd w:id="97"/>
    <w:bookmarkEnd w:id="98"/>
    <w:bookmarkEnd w:id="99"/>
    <w:bookmarkEnd w:id="100"/>
    <w:bookmarkEnd w:id="101"/>
    <w:p>
      <w:pPr>
        <w:pStyle w:val="28"/>
        <w:spacing w:before="156" w:after="156"/>
      </w:pPr>
      <w:r>
        <w:rPr>
          <w:rFonts w:hint="eastAsia"/>
        </w:rPr>
        <w:t>基本要求</w:t>
      </w:r>
    </w:p>
    <w:p>
      <w:pPr>
        <w:numPr>
          <w:ilvl w:val="2"/>
          <w:numId w:val="1"/>
        </w:numPr>
        <w:spacing w:before="156" w:after="156"/>
        <w:ind w:left="0" w:firstLine="0"/>
        <w:rPr>
          <w:rFonts w:ascii="宋体" w:hAnsi="宋体" w:cs="宋体"/>
        </w:rPr>
      </w:pPr>
      <w:r>
        <w:rPr>
          <w:rFonts w:hint="eastAsia" w:ascii="宋体" w:hAnsi="宋体" w:cs="黑体"/>
          <w:szCs w:val="21"/>
        </w:rPr>
        <w:t>修复件和周转件中的固定资产和低值易耗，</w:t>
      </w:r>
      <w:r>
        <w:rPr>
          <w:rFonts w:hint="eastAsia" w:ascii="黑体" w:hAnsi="黑体"/>
        </w:rPr>
        <w:t>以及分公司高价周转件</w:t>
      </w:r>
      <w:r>
        <w:rPr>
          <w:rFonts w:hint="eastAsia" w:ascii="宋体" w:hAnsi="宋体" w:cs="黑体"/>
          <w:szCs w:val="21"/>
        </w:rPr>
        <w:t>管理按照《郑州地铁集团有限公司运营分公司实物资产管理办法》和《郑州地铁集团有限公司运营分公司高价周转件管理细则》执行，不重复纳入仓储管理系统（以下简称“WMS系统”）进行管理。</w:t>
      </w:r>
    </w:p>
    <w:p>
      <w:pPr>
        <w:numPr>
          <w:ilvl w:val="2"/>
          <w:numId w:val="1"/>
        </w:numPr>
        <w:spacing w:before="156" w:after="156"/>
        <w:ind w:left="0" w:firstLine="0"/>
        <w:rPr>
          <w:rFonts w:ascii="宋体" w:hAnsi="宋体" w:cs="宋体"/>
        </w:rPr>
      </w:pPr>
      <w:r>
        <w:rPr>
          <w:rFonts w:hint="eastAsia" w:ascii="宋体" w:hAnsi="宋体" w:cs="黑体"/>
          <w:szCs w:val="21"/>
        </w:rPr>
        <w:t>修复件和周转件物资以中心为单位进行管理，库存周转件和修复件物资存放于二级库，WMS系统通过设立中心级零价值备件子库存和货位方式实现修复件和周转件物资线上管理，系统货位与实物存储位置保持一致。</w:t>
      </w:r>
    </w:p>
    <w:p>
      <w:pPr>
        <w:numPr>
          <w:ilvl w:val="2"/>
          <w:numId w:val="1"/>
        </w:numPr>
        <w:spacing w:before="156" w:after="156"/>
        <w:ind w:left="0" w:firstLine="0"/>
        <w:rPr>
          <w:rFonts w:ascii="宋体" w:hAnsi="宋体" w:cs="宋体"/>
          <w:highlight w:val="none"/>
        </w:rPr>
      </w:pPr>
      <w:r>
        <w:rPr>
          <w:rFonts w:hint="eastAsia" w:ascii="宋体" w:hAnsi="宋体" w:cs="宋体"/>
        </w:rPr>
        <w:t>各中心对修复件的维修和周转件的流转使用情况应通过</w:t>
      </w:r>
      <w:r>
        <w:rPr>
          <w:rFonts w:hint="eastAsia" w:ascii="宋体" w:hAnsi="宋体" w:cs="黑体"/>
          <w:szCs w:val="21"/>
        </w:rPr>
        <w:t>设备智能维修系统（简称“CIMS系统”）</w:t>
      </w:r>
      <w:r>
        <w:rPr>
          <w:rFonts w:hint="eastAsia" w:ascii="宋体" w:hAnsi="宋体" w:cs="黑体"/>
          <w:szCs w:val="21"/>
          <w:highlight w:val="none"/>
        </w:rPr>
        <w:t>进行跟踪记录。</w:t>
      </w:r>
    </w:p>
    <w:p>
      <w:pPr>
        <w:pStyle w:val="28"/>
        <w:spacing w:before="156" w:after="156"/>
        <w:rPr>
          <w:highlight w:val="none"/>
        </w:rPr>
      </w:pPr>
      <w:bookmarkStart w:id="104" w:name="_Toc23693"/>
      <w:bookmarkStart w:id="105" w:name="_Toc4049"/>
      <w:bookmarkStart w:id="106" w:name="_Toc30181"/>
      <w:bookmarkStart w:id="107" w:name="_Toc15564"/>
      <w:bookmarkStart w:id="108" w:name="_Toc5753"/>
      <w:bookmarkStart w:id="109" w:name="_Toc28606"/>
      <w:bookmarkStart w:id="110" w:name="_Toc1778"/>
      <w:bookmarkStart w:id="111" w:name="_Toc16818"/>
      <w:bookmarkStart w:id="112" w:name="_Toc30067"/>
      <w:r>
        <w:rPr>
          <w:rFonts w:hint="eastAsia"/>
          <w:highlight w:val="none"/>
        </w:rPr>
        <w:t>入库管理</w:t>
      </w:r>
      <w:bookmarkEnd w:id="104"/>
      <w:bookmarkEnd w:id="105"/>
      <w:bookmarkEnd w:id="106"/>
      <w:bookmarkEnd w:id="107"/>
      <w:bookmarkEnd w:id="108"/>
      <w:bookmarkEnd w:id="109"/>
      <w:bookmarkEnd w:id="110"/>
      <w:bookmarkEnd w:id="111"/>
      <w:bookmarkEnd w:id="112"/>
    </w:p>
    <w:p>
      <w:pPr>
        <w:numPr>
          <w:ilvl w:val="2"/>
          <w:numId w:val="1"/>
        </w:numPr>
        <w:spacing w:before="156" w:after="156"/>
        <w:ind w:left="0" w:firstLine="0"/>
        <w:rPr>
          <w:rFonts w:ascii="宋体" w:hAnsi="宋体" w:cs="黑体"/>
          <w:szCs w:val="21"/>
        </w:rPr>
      </w:pPr>
      <w:r>
        <w:rPr>
          <w:rFonts w:hint="eastAsia" w:ascii="宋体" w:hAnsi="宋体" w:cs="黑体"/>
          <w:szCs w:val="21"/>
          <w:highlight w:val="none"/>
        </w:rPr>
        <w:t>修复件入库管理流程</w:t>
      </w:r>
    </w:p>
    <w:p>
      <w:pPr>
        <w:numPr>
          <w:ilvl w:val="3"/>
          <w:numId w:val="1"/>
        </w:numPr>
        <w:spacing w:before="156" w:after="156"/>
        <w:rPr>
          <w:rFonts w:ascii="宋体" w:hAnsi="宋体" w:cs="黑体"/>
          <w:color w:val="auto"/>
          <w:szCs w:val="21"/>
        </w:rPr>
      </w:pPr>
      <w:r>
        <w:rPr>
          <w:rFonts w:hint="eastAsia" w:ascii="宋体" w:hAnsi="宋体" w:cs="黑体"/>
          <w:szCs w:val="21"/>
        </w:rPr>
        <w:t>各中心生产班组人员对日常维修生产过程中更换产生的故障件完成修复时，按照</w:t>
      </w:r>
      <w:r>
        <w:rPr>
          <w:rFonts w:hint="eastAsia" w:ascii="宋体" w:hAnsi="宋体" w:cs="宋体"/>
          <w:lang w:bidi="ar"/>
        </w:rPr>
        <w:t>分公司</w:t>
      </w:r>
      <w:r>
        <w:rPr>
          <w:rFonts w:hint="eastAsia" w:ascii="宋体" w:hAnsi="宋体" w:cs="宋体"/>
          <w:color w:val="auto"/>
          <w:lang w:bidi="ar"/>
        </w:rPr>
        <w:t>相关质量验收标准开展质量验收工作</w:t>
      </w:r>
      <w:r>
        <w:rPr>
          <w:rFonts w:hint="eastAsia" w:ascii="宋体" w:hAnsi="宋体" w:cs="黑体"/>
          <w:color w:val="auto"/>
          <w:szCs w:val="21"/>
        </w:rPr>
        <w:t>，形成验收单（见附录A）。</w:t>
      </w:r>
    </w:p>
    <w:p>
      <w:pPr>
        <w:numPr>
          <w:ilvl w:val="3"/>
          <w:numId w:val="1"/>
        </w:numPr>
        <w:spacing w:before="156" w:after="156"/>
        <w:rPr>
          <w:rFonts w:ascii="宋体" w:hAnsi="宋体" w:cs="黑体"/>
          <w:color w:val="FF0000"/>
          <w:szCs w:val="21"/>
        </w:rPr>
      </w:pPr>
      <w:r>
        <w:rPr>
          <w:rFonts w:hint="eastAsia" w:ascii="宋体" w:hAnsi="宋体" w:cs="黑体"/>
          <w:color w:val="auto"/>
          <w:szCs w:val="21"/>
        </w:rPr>
        <w:t>验收</w:t>
      </w:r>
      <w:r>
        <w:rPr>
          <w:rFonts w:hint="eastAsia" w:ascii="宋体" w:hAnsi="宋体" w:cs="黑体"/>
          <w:szCs w:val="21"/>
        </w:rPr>
        <w:t>完成后2个工作日内汇总整理验收合格物资形成入库清单（见附录B），提报至科室物资员。验收质量不合格物资按照《郑州地铁集团有限公司运营分公司实物资产管理办法》进行处置。</w:t>
      </w:r>
    </w:p>
    <w:p>
      <w:pPr>
        <w:numPr>
          <w:ilvl w:val="3"/>
          <w:numId w:val="1"/>
        </w:numPr>
        <w:spacing w:before="156" w:after="156"/>
        <w:rPr>
          <w:rFonts w:ascii="宋体" w:hAnsi="宋体" w:cs="黑体"/>
          <w:szCs w:val="21"/>
        </w:rPr>
      </w:pPr>
      <w:r>
        <w:rPr>
          <w:rFonts w:hint="eastAsia" w:ascii="宋体" w:hAnsi="宋体" w:cs="黑体"/>
          <w:szCs w:val="21"/>
        </w:rPr>
        <w:t>科室物资员于收到申请1个工作日内审核汇总后提报至中心物资员。</w:t>
      </w:r>
    </w:p>
    <w:p>
      <w:pPr>
        <w:numPr>
          <w:ilvl w:val="3"/>
          <w:numId w:val="1"/>
        </w:numPr>
        <w:spacing w:before="156" w:after="156"/>
        <w:rPr>
          <w:rFonts w:ascii="宋体" w:hAnsi="宋体" w:cs="黑体"/>
          <w:szCs w:val="21"/>
        </w:rPr>
      </w:pPr>
      <w:r>
        <w:rPr>
          <w:rFonts w:hint="eastAsia" w:ascii="宋体" w:hAnsi="宋体" w:cs="黑体"/>
          <w:szCs w:val="21"/>
        </w:rPr>
        <w:t>各中心物资员根据入库清单和验收单，于2个工作日内完成审核，安排科室物资员办理WMS系统入库。</w:t>
      </w:r>
    </w:p>
    <w:p>
      <w:pPr>
        <w:numPr>
          <w:ilvl w:val="2"/>
          <w:numId w:val="1"/>
        </w:numPr>
        <w:spacing w:before="156" w:after="156"/>
        <w:ind w:left="0" w:firstLine="0"/>
        <w:rPr>
          <w:rFonts w:ascii="宋体" w:hAnsi="宋体" w:cs="黑体"/>
          <w:szCs w:val="21"/>
        </w:rPr>
      </w:pPr>
      <w:r>
        <w:rPr>
          <w:rFonts w:hint="eastAsia" w:ascii="宋体" w:hAnsi="宋体" w:cs="黑体"/>
          <w:szCs w:val="21"/>
        </w:rPr>
        <w:t>周转件入库管理流程</w:t>
      </w:r>
    </w:p>
    <w:p>
      <w:pPr>
        <w:numPr>
          <w:ilvl w:val="3"/>
          <w:numId w:val="1"/>
        </w:numPr>
        <w:spacing w:before="156" w:after="156"/>
        <w:rPr>
          <w:rFonts w:ascii="宋体" w:hAnsi="宋体" w:cs="黑体"/>
          <w:szCs w:val="21"/>
        </w:rPr>
      </w:pPr>
      <w:r>
        <w:rPr>
          <w:rFonts w:hint="eastAsia" w:ascii="宋体" w:hAnsi="宋体" w:cs="黑体"/>
          <w:szCs w:val="21"/>
        </w:rPr>
        <w:t>各中心生产班组人员对日常生产过程中的周转件物资，于产生之日起1个工作日内汇总整理形成入库清单，提报至科室物资员。</w:t>
      </w:r>
    </w:p>
    <w:p>
      <w:pPr>
        <w:numPr>
          <w:ilvl w:val="3"/>
          <w:numId w:val="1"/>
        </w:numPr>
        <w:spacing w:before="156" w:after="156"/>
        <w:rPr>
          <w:rFonts w:ascii="宋体" w:hAnsi="宋体" w:cs="黑体"/>
          <w:szCs w:val="21"/>
        </w:rPr>
      </w:pPr>
      <w:r>
        <w:rPr>
          <w:rFonts w:hint="eastAsia" w:ascii="宋体" w:hAnsi="宋体" w:cs="黑体"/>
          <w:szCs w:val="21"/>
        </w:rPr>
        <w:t>科室物资员于收到申请1个工作日内审核汇总后提报至中心物资员。</w:t>
      </w:r>
    </w:p>
    <w:p>
      <w:pPr>
        <w:numPr>
          <w:ilvl w:val="3"/>
          <w:numId w:val="1"/>
        </w:numPr>
        <w:spacing w:before="156" w:after="156"/>
        <w:rPr>
          <w:rFonts w:ascii="宋体" w:hAnsi="宋体" w:cs="黑体"/>
          <w:szCs w:val="21"/>
        </w:rPr>
      </w:pPr>
      <w:r>
        <w:rPr>
          <w:rFonts w:hint="eastAsia" w:ascii="宋体" w:hAnsi="宋体" w:cs="黑体"/>
          <w:szCs w:val="21"/>
        </w:rPr>
        <w:t>各中心物资员根据入库清单，于1个工作日内完成审核，安排科室物资员办理WMS系统入库。</w:t>
      </w:r>
    </w:p>
    <w:p>
      <w:pPr>
        <w:numPr>
          <w:ilvl w:val="3"/>
          <w:numId w:val="1"/>
        </w:numPr>
        <w:spacing w:before="156" w:after="156"/>
        <w:rPr>
          <w:rFonts w:ascii="宋体" w:hAnsi="宋体" w:cs="黑体"/>
          <w:szCs w:val="21"/>
        </w:rPr>
      </w:pPr>
      <w:r>
        <w:rPr>
          <w:rFonts w:hint="eastAsia" w:ascii="宋体" w:hAnsi="宋体" w:cs="黑体"/>
          <w:szCs w:val="21"/>
        </w:rPr>
        <w:t>周转件损坏时能修复的修复后入周转库，不能修复的进行报废，进行周转件补库。</w:t>
      </w:r>
    </w:p>
    <w:p>
      <w:pPr>
        <w:numPr>
          <w:ilvl w:val="2"/>
          <w:numId w:val="1"/>
        </w:numPr>
        <w:spacing w:before="156" w:after="156"/>
        <w:ind w:left="0" w:firstLine="0"/>
        <w:rPr>
          <w:rFonts w:ascii="宋体" w:hAnsi="宋体" w:cs="黑体"/>
          <w:szCs w:val="21"/>
        </w:rPr>
      </w:pPr>
      <w:r>
        <w:rPr>
          <w:rFonts w:hint="eastAsia" w:ascii="宋体" w:hAnsi="宋体" w:cs="黑体"/>
          <w:szCs w:val="21"/>
        </w:rPr>
        <w:t>各科室物资员对修复件和周转件物资纸质、电子材料进行归档。</w:t>
      </w:r>
    </w:p>
    <w:p>
      <w:pPr>
        <w:pStyle w:val="28"/>
        <w:spacing w:before="156" w:after="156"/>
      </w:pPr>
      <w:bookmarkStart w:id="113" w:name="_Toc13731"/>
      <w:bookmarkStart w:id="114" w:name="_Toc22774"/>
      <w:bookmarkStart w:id="115" w:name="_Toc19571"/>
      <w:bookmarkStart w:id="116" w:name="_Toc1739"/>
      <w:bookmarkStart w:id="117" w:name="_Toc16564"/>
      <w:bookmarkStart w:id="118" w:name="_Toc12079"/>
      <w:bookmarkStart w:id="119" w:name="_Toc20052"/>
      <w:bookmarkStart w:id="120" w:name="_Toc23254"/>
      <w:bookmarkStart w:id="121" w:name="_Toc31366"/>
      <w:r>
        <w:rPr>
          <w:rFonts w:hint="eastAsia"/>
        </w:rPr>
        <w:t>出库管理</w:t>
      </w:r>
    </w:p>
    <w:p>
      <w:pPr>
        <w:spacing w:before="156" w:after="156"/>
        <w:ind w:firstLine="420" w:firstLineChars="200"/>
        <w:rPr>
          <w:rFonts w:ascii="宋体" w:hAnsi="宋体" w:cs="黑体"/>
          <w:szCs w:val="21"/>
        </w:rPr>
      </w:pPr>
      <w:r>
        <w:rPr>
          <w:rFonts w:hint="eastAsia" w:ascii="宋体" w:hAnsi="宋体" w:cs="黑体"/>
          <w:szCs w:val="21"/>
        </w:rPr>
        <w:t>修复件和周转件物资出库按照《</w:t>
      </w:r>
      <w:r>
        <w:rPr>
          <w:rFonts w:hint="eastAsia"/>
        </w:rPr>
        <w:t>郑州地铁集团有限公司运营分公司二级仓库管理规定</w:t>
      </w:r>
      <w:r>
        <w:rPr>
          <w:rFonts w:hint="eastAsia" w:ascii="宋体" w:hAnsi="宋体" w:cs="黑体"/>
          <w:szCs w:val="21"/>
        </w:rPr>
        <w:t>》执行。</w:t>
      </w:r>
    </w:p>
    <w:bookmarkEnd w:id="113"/>
    <w:bookmarkEnd w:id="114"/>
    <w:bookmarkEnd w:id="115"/>
    <w:bookmarkEnd w:id="116"/>
    <w:bookmarkEnd w:id="117"/>
    <w:bookmarkEnd w:id="118"/>
    <w:bookmarkEnd w:id="119"/>
    <w:bookmarkEnd w:id="120"/>
    <w:bookmarkEnd w:id="121"/>
    <w:p>
      <w:pPr>
        <w:pStyle w:val="28"/>
        <w:spacing w:before="156" w:after="156"/>
      </w:pPr>
      <w:bookmarkStart w:id="122" w:name="_Toc2509"/>
      <w:bookmarkStart w:id="123" w:name="_Toc31308"/>
      <w:bookmarkStart w:id="124" w:name="_Toc31396"/>
      <w:bookmarkStart w:id="125" w:name="_Toc5848"/>
      <w:bookmarkStart w:id="126" w:name="_Toc886"/>
      <w:r>
        <w:rPr>
          <w:rFonts w:hint="eastAsia"/>
        </w:rPr>
        <w:t>存储管理</w:t>
      </w:r>
    </w:p>
    <w:p>
      <w:pPr>
        <w:numPr>
          <w:ilvl w:val="255"/>
          <w:numId w:val="0"/>
        </w:numPr>
        <w:spacing w:before="156" w:after="156"/>
        <w:ind w:firstLine="420" w:firstLineChars="200"/>
      </w:pPr>
      <w:r>
        <w:rPr>
          <w:rFonts w:hint="eastAsia" w:ascii="宋体" w:hAnsi="宋体" w:cs="黑体"/>
          <w:szCs w:val="21"/>
        </w:rPr>
        <w:t>修复件和周转件物资存储按照《郑州地铁集团有限公司运营分公司二级仓库管理规定》执行。</w:t>
      </w:r>
    </w:p>
    <w:p>
      <w:pPr>
        <w:pStyle w:val="28"/>
        <w:spacing w:before="156" w:after="156"/>
      </w:pPr>
      <w:r>
        <w:t>盘点管理</w:t>
      </w:r>
    </w:p>
    <w:p>
      <w:pPr>
        <w:numPr>
          <w:ilvl w:val="255"/>
          <w:numId w:val="0"/>
        </w:numPr>
        <w:spacing w:before="156" w:after="156"/>
        <w:ind w:firstLine="420" w:firstLineChars="200"/>
        <w:rPr>
          <w:rFonts w:ascii="宋体" w:hAnsi="宋体" w:cs="黑体"/>
          <w:szCs w:val="21"/>
        </w:rPr>
      </w:pPr>
      <w:r>
        <w:rPr>
          <w:rFonts w:hint="eastAsia" w:ascii="宋体" w:hAnsi="宋体" w:cs="黑体"/>
          <w:szCs w:val="21"/>
        </w:rPr>
        <w:t>修复件和周转件</w:t>
      </w:r>
      <w:r>
        <w:rPr>
          <w:rFonts w:ascii="宋体" w:hAnsi="宋体" w:cs="黑体"/>
          <w:szCs w:val="21"/>
        </w:rPr>
        <w:t>物资盘点</w:t>
      </w:r>
      <w:r>
        <w:rPr>
          <w:rFonts w:hint="eastAsia" w:ascii="宋体" w:hAnsi="宋体" w:cs="黑体"/>
          <w:szCs w:val="21"/>
        </w:rPr>
        <w:t>按照《</w:t>
      </w:r>
      <w:r>
        <w:rPr>
          <w:rFonts w:hint="eastAsia"/>
        </w:rPr>
        <w:t>郑州地铁集团有限公司运营分公司物资仓储管理办法</w:t>
      </w:r>
      <w:r>
        <w:rPr>
          <w:rFonts w:hint="eastAsia" w:ascii="宋体" w:hAnsi="宋体" w:cs="黑体"/>
          <w:szCs w:val="21"/>
        </w:rPr>
        <w:t>》执行。</w:t>
      </w:r>
    </w:p>
    <w:bookmarkEnd w:id="102"/>
    <w:bookmarkEnd w:id="103"/>
    <w:bookmarkEnd w:id="122"/>
    <w:bookmarkEnd w:id="123"/>
    <w:bookmarkEnd w:id="124"/>
    <w:bookmarkEnd w:id="125"/>
    <w:bookmarkEnd w:id="126"/>
    <w:p>
      <w:pPr>
        <w:pStyle w:val="28"/>
        <w:numPr>
          <w:ilvl w:val="1"/>
          <w:numId w:val="5"/>
        </w:numPr>
        <w:spacing w:before="156" w:after="156"/>
        <w:rPr>
          <w:rFonts w:hAnsi="黑体" w:cs="黑体"/>
        </w:rPr>
      </w:pPr>
      <w:bookmarkStart w:id="127" w:name="_Toc6384"/>
      <w:bookmarkStart w:id="128" w:name="_Toc25277"/>
      <w:bookmarkStart w:id="129" w:name="_Toc1009"/>
      <w:bookmarkStart w:id="130" w:name="_Toc21560"/>
      <w:bookmarkStart w:id="131" w:name="_Toc14832"/>
      <w:bookmarkStart w:id="132" w:name="_Toc15554"/>
      <w:bookmarkStart w:id="133" w:name="_Toc11033"/>
      <w:bookmarkStart w:id="134" w:name="_Toc4402"/>
      <w:bookmarkStart w:id="135" w:name="_Toc13151"/>
      <w:r>
        <w:rPr>
          <w:rFonts w:hint="eastAsia" w:hAnsi="黑体" w:cs="黑体"/>
        </w:rPr>
        <w:t>工作考核</w:t>
      </w:r>
      <w:bookmarkEnd w:id="127"/>
      <w:bookmarkEnd w:id="128"/>
      <w:bookmarkEnd w:id="129"/>
      <w:bookmarkEnd w:id="130"/>
      <w:bookmarkEnd w:id="131"/>
      <w:bookmarkEnd w:id="132"/>
      <w:bookmarkEnd w:id="133"/>
      <w:bookmarkEnd w:id="134"/>
      <w:bookmarkEnd w:id="135"/>
    </w:p>
    <w:p>
      <w:pPr>
        <w:ind w:firstLine="420" w:firstLineChars="200"/>
      </w:pPr>
      <w:r>
        <w:rPr>
          <w:rFonts w:hint="eastAsia" w:ascii="宋体" w:hAnsi="宋体" w:cs="黑体"/>
          <w:szCs w:val="21"/>
        </w:rPr>
        <w:t>周转件和修复件管理考核详见分公司《郑州地铁集团有限公司运营分公司物资管理考核细则》。</w:t>
      </w:r>
    </w:p>
    <w:p>
      <w:pPr>
        <w:pStyle w:val="27"/>
        <w:spacing w:before="312" w:after="312"/>
        <w:jc w:val="left"/>
      </w:pPr>
      <w:bookmarkStart w:id="136" w:name="_Toc6416"/>
      <w:bookmarkStart w:id="137" w:name="_Toc20306"/>
      <w:bookmarkStart w:id="138" w:name="_Toc18965"/>
      <w:bookmarkStart w:id="139" w:name="_Toc15726"/>
      <w:bookmarkStart w:id="140" w:name="_Toc27024"/>
      <w:bookmarkStart w:id="141" w:name="_Toc7242"/>
      <w:bookmarkStart w:id="142" w:name="_Toc29421"/>
      <w:bookmarkStart w:id="143" w:name="_Toc11936"/>
      <w:bookmarkStart w:id="144" w:name="_Toc15792"/>
      <w:bookmarkStart w:id="145" w:name="_Toc30553"/>
      <w:bookmarkStart w:id="146" w:name="_Toc1312"/>
      <w:r>
        <w:rPr>
          <w:rFonts w:hint="eastAsia"/>
        </w:rPr>
        <w:t>报告和记录</w:t>
      </w:r>
      <w:bookmarkEnd w:id="136"/>
      <w:bookmarkEnd w:id="137"/>
      <w:bookmarkEnd w:id="138"/>
      <w:bookmarkEnd w:id="139"/>
      <w:bookmarkEnd w:id="140"/>
      <w:bookmarkEnd w:id="141"/>
      <w:bookmarkEnd w:id="142"/>
      <w:bookmarkEnd w:id="143"/>
      <w:bookmarkEnd w:id="144"/>
      <w:bookmarkEnd w:id="145"/>
      <w:bookmarkEnd w:id="14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3242"/>
        <w:gridCol w:w="2051"/>
        <w:gridCol w:w="1033"/>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序号</w:t>
            </w:r>
          </w:p>
        </w:tc>
        <w:tc>
          <w:tcPr>
            <w:tcW w:w="3242" w:type="dxa"/>
          </w:tcPr>
          <w:p>
            <w:pPr>
              <w:pStyle w:val="25"/>
              <w:widowControl w:val="0"/>
              <w:spacing w:before="156" w:after="156"/>
              <w:ind w:firstLine="0" w:firstLineChars="0"/>
              <w:jc w:val="center"/>
              <w:rPr>
                <w:sz w:val="18"/>
                <w:szCs w:val="18"/>
              </w:rPr>
            </w:pPr>
            <w:r>
              <w:rPr>
                <w:rFonts w:hint="eastAsia"/>
                <w:sz w:val="18"/>
                <w:szCs w:val="18"/>
              </w:rPr>
              <w:t>记录名称</w:t>
            </w:r>
          </w:p>
        </w:tc>
        <w:tc>
          <w:tcPr>
            <w:tcW w:w="2051" w:type="dxa"/>
          </w:tcPr>
          <w:p>
            <w:pPr>
              <w:pStyle w:val="25"/>
              <w:widowControl w:val="0"/>
              <w:spacing w:before="156" w:after="156"/>
              <w:ind w:firstLine="0" w:firstLineChars="0"/>
              <w:jc w:val="center"/>
              <w:rPr>
                <w:sz w:val="18"/>
                <w:szCs w:val="18"/>
              </w:rPr>
            </w:pPr>
            <w:r>
              <w:rPr>
                <w:rFonts w:hint="eastAsia"/>
                <w:sz w:val="18"/>
                <w:szCs w:val="18"/>
              </w:rPr>
              <w:t>记录编号</w:t>
            </w:r>
          </w:p>
        </w:tc>
        <w:tc>
          <w:tcPr>
            <w:tcW w:w="1033" w:type="dxa"/>
          </w:tcPr>
          <w:p>
            <w:pPr>
              <w:pStyle w:val="25"/>
              <w:widowControl w:val="0"/>
              <w:spacing w:before="156" w:after="156"/>
              <w:ind w:firstLine="0" w:firstLineChars="0"/>
              <w:jc w:val="center"/>
              <w:rPr>
                <w:sz w:val="18"/>
                <w:szCs w:val="18"/>
              </w:rPr>
            </w:pPr>
            <w:r>
              <w:rPr>
                <w:rFonts w:hint="eastAsia"/>
                <w:sz w:val="18"/>
                <w:szCs w:val="18"/>
              </w:rPr>
              <w:t>保存期限</w:t>
            </w:r>
          </w:p>
        </w:tc>
        <w:tc>
          <w:tcPr>
            <w:tcW w:w="2137" w:type="dxa"/>
          </w:tcPr>
          <w:p>
            <w:pPr>
              <w:pStyle w:val="25"/>
              <w:widowControl w:val="0"/>
              <w:spacing w:before="156" w:after="156"/>
              <w:ind w:firstLine="0" w:firstLineChars="0"/>
              <w:jc w:val="center"/>
              <w:rPr>
                <w:sz w:val="18"/>
                <w:szCs w:val="18"/>
              </w:rPr>
            </w:pPr>
            <w:r>
              <w:rPr>
                <w:rFonts w:hint="eastAsia"/>
                <w:sz w:val="18"/>
                <w:szCs w:val="18"/>
              </w:rPr>
              <w:t>保存中心（部门）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1</w:t>
            </w:r>
          </w:p>
        </w:tc>
        <w:tc>
          <w:tcPr>
            <w:tcW w:w="3242" w:type="dxa"/>
          </w:tcPr>
          <w:p>
            <w:pPr>
              <w:pStyle w:val="25"/>
              <w:widowControl w:val="0"/>
              <w:spacing w:before="156" w:after="156"/>
              <w:ind w:firstLine="0" w:firstLineChars="0"/>
              <w:jc w:val="center"/>
              <w:rPr>
                <w:sz w:val="18"/>
                <w:szCs w:val="18"/>
              </w:rPr>
            </w:pPr>
            <w:r>
              <w:rPr>
                <w:rFonts w:hint="eastAsia"/>
                <w:sz w:val="18"/>
                <w:szCs w:val="18"/>
              </w:rPr>
              <w:t>修复件质量验收单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2</w:t>
            </w:r>
          </w:p>
        </w:tc>
        <w:tc>
          <w:tcPr>
            <w:tcW w:w="3242" w:type="dxa"/>
          </w:tcPr>
          <w:p>
            <w:pPr>
              <w:pStyle w:val="25"/>
              <w:widowControl w:val="0"/>
              <w:spacing w:before="156" w:after="156"/>
              <w:ind w:firstLine="0" w:firstLineChars="0"/>
              <w:jc w:val="center"/>
              <w:rPr>
                <w:sz w:val="18"/>
                <w:szCs w:val="18"/>
              </w:rPr>
            </w:pPr>
            <w:r>
              <w:rPr>
                <w:rFonts w:hint="eastAsia"/>
                <w:sz w:val="18"/>
                <w:szCs w:val="18"/>
              </w:rPr>
              <w:t>修复件和周转件入库清单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bl>
    <w:p>
      <w:pPr>
        <w:pStyle w:val="27"/>
        <w:spacing w:before="312" w:after="312"/>
        <w:jc w:val="left"/>
        <w:sectPr>
          <w:headerReference r:id="rId6" w:type="default"/>
          <w:footerReference r:id="rId7" w:type="default"/>
          <w:pgSz w:w="11906" w:h="16838"/>
          <w:pgMar w:top="567" w:right="1134" w:bottom="1134" w:left="1418" w:header="1418" w:footer="1134" w:gutter="0"/>
          <w:pgNumType w:start="1"/>
          <w:cols w:space="720" w:num="1"/>
          <w:formProt w:val="0"/>
          <w:docGrid w:type="lines" w:linePitch="312" w:charSpace="0"/>
        </w:sectPr>
      </w:pPr>
    </w:p>
    <w:p>
      <w:pPr>
        <w:pStyle w:val="25"/>
        <w:ind w:firstLine="0" w:firstLineChars="0"/>
        <w:jc w:val="left"/>
        <w:rPr>
          <w:rFonts w:ascii="黑体" w:hAnsi="黑体" w:eastAsia="黑体" w:cs="黑体"/>
        </w:rPr>
      </w:pPr>
      <w:r>
        <w:rPr>
          <w:rFonts w:hint="eastAsia" w:ascii="黑体" w:hAnsi="黑体" w:eastAsia="黑体" w:cs="黑体"/>
        </w:rPr>
        <w:t>7 附录</w:t>
      </w:r>
    </w:p>
    <w:p>
      <w:pPr>
        <w:pStyle w:val="30"/>
      </w:pPr>
      <w:bookmarkStart w:id="147" w:name="_Toc26480"/>
      <w:bookmarkStart w:id="148" w:name="_Toc24057"/>
      <w:bookmarkStart w:id="149" w:name="_Toc16539"/>
      <w:bookmarkStart w:id="150" w:name="_Toc31198"/>
      <w:bookmarkStart w:id="151" w:name="_Toc13668"/>
      <w:bookmarkStart w:id="152" w:name="_Toc29269"/>
      <w:bookmarkStart w:id="153" w:name="_Toc16959"/>
      <w:bookmarkStart w:id="154" w:name="_Toc16114"/>
      <w:bookmarkStart w:id="155" w:name="_Toc16337"/>
      <w:bookmarkStart w:id="156" w:name="_Toc451"/>
      <w:bookmarkStart w:id="157" w:name="_Toc21141"/>
      <w:r>
        <w:rPr>
          <w:rFonts w:hint="eastAsia"/>
          <w:lang w:val="en-US" w:eastAsia="zh-CN"/>
        </w:rPr>
        <w:t xml:space="preserve">  </w:t>
      </w:r>
      <w:r>
        <w:rPr>
          <w:rFonts w:hint="eastAsia"/>
        </w:rPr>
        <w:t>修复件质量验收单</w:t>
      </w:r>
    </w:p>
    <w:p>
      <w:pPr>
        <w:pStyle w:val="25"/>
      </w:pPr>
    </w:p>
    <w:p>
      <w:pPr>
        <w:pStyle w:val="25"/>
        <w:jc w:val="right"/>
      </w:pPr>
      <w:r>
        <w:t>JL/ZDYY-</w:t>
      </w:r>
      <w:r>
        <w:rPr>
          <w:rFonts w:hint="eastAsia"/>
        </w:rPr>
        <w:t>CG</w:t>
      </w:r>
      <w:r>
        <w:t>-</w:t>
      </w:r>
      <w:r>
        <w:rPr>
          <w:rFonts w:hint="eastAsia"/>
        </w:rPr>
        <w:t>XZ</w:t>
      </w:r>
      <w:r>
        <w:t>-</w:t>
      </w:r>
      <w:r>
        <w:rPr>
          <w:rFonts w:hint="eastAsia"/>
        </w:rPr>
        <w:t>**</w:t>
      </w:r>
    </w:p>
    <w:tbl>
      <w:tblPr>
        <w:tblStyle w:val="10"/>
        <w:tblW w:w="13860" w:type="dxa"/>
        <w:tblInd w:w="93" w:type="dxa"/>
        <w:tblLayout w:type="fixed"/>
        <w:tblCellMar>
          <w:top w:w="0" w:type="dxa"/>
          <w:left w:w="108" w:type="dxa"/>
          <w:bottom w:w="0" w:type="dxa"/>
          <w:right w:w="108" w:type="dxa"/>
        </w:tblCellMar>
      </w:tblPr>
      <w:tblGrid>
        <w:gridCol w:w="1071"/>
        <w:gridCol w:w="2130"/>
        <w:gridCol w:w="2472"/>
        <w:gridCol w:w="1015"/>
        <w:gridCol w:w="1016"/>
        <w:gridCol w:w="1973"/>
        <w:gridCol w:w="1294"/>
        <w:gridCol w:w="1559"/>
        <w:gridCol w:w="1330"/>
      </w:tblGrid>
      <w:tr>
        <w:tblPrEx>
          <w:tblCellMar>
            <w:top w:w="0" w:type="dxa"/>
            <w:left w:w="108" w:type="dxa"/>
            <w:bottom w:w="0" w:type="dxa"/>
            <w:right w:w="108" w:type="dxa"/>
          </w:tblCellMar>
        </w:tblPrEx>
        <w:trPr>
          <w:trHeight w:val="773" w:hRule="atLeast"/>
        </w:trPr>
        <w:tc>
          <w:tcPr>
            <w:tcW w:w="13860" w:type="dxa"/>
            <w:gridSpan w:val="9"/>
            <w:tcBorders>
              <w:top w:val="nil"/>
              <w:left w:val="nil"/>
              <w:bottom w:val="nil"/>
              <w:right w:val="nil"/>
            </w:tcBorders>
            <w:shd w:val="clear" w:color="auto" w:fill="auto"/>
            <w:vAlign w:val="center"/>
          </w:tcPr>
          <w:p>
            <w:pPr>
              <w:pStyle w:val="25"/>
              <w:jc w:val="center"/>
            </w:pPr>
            <w:r>
              <w:rPr>
                <w:rFonts w:hint="eastAsia"/>
              </w:rPr>
              <w:t>修复件质量验收单</w:t>
            </w:r>
          </w:p>
        </w:tc>
      </w:tr>
      <w:tr>
        <w:tblPrEx>
          <w:tblCellMar>
            <w:top w:w="0" w:type="dxa"/>
            <w:left w:w="108" w:type="dxa"/>
            <w:bottom w:w="0" w:type="dxa"/>
            <w:right w:w="108" w:type="dxa"/>
          </w:tblCellMar>
        </w:tblPrEx>
        <w:trPr>
          <w:trHeight w:val="617" w:hRule="atLeast"/>
        </w:trPr>
        <w:tc>
          <w:tcPr>
            <w:tcW w:w="32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r>
              <w:rPr>
                <w:rFonts w:hint="eastAsia"/>
              </w:rPr>
              <w:t>物资使用部门（中心）：</w:t>
            </w:r>
          </w:p>
        </w:tc>
        <w:tc>
          <w:tcPr>
            <w:tcW w:w="4503" w:type="dxa"/>
            <w:gridSpan w:val="3"/>
            <w:tcBorders>
              <w:top w:val="single" w:color="000000" w:sz="4" w:space="0"/>
              <w:left w:val="single" w:color="000000" w:sz="4" w:space="0"/>
              <w:bottom w:val="single" w:color="000000" w:sz="4" w:space="0"/>
              <w:right w:val="nil"/>
            </w:tcBorders>
            <w:shd w:val="clear" w:color="auto" w:fill="auto"/>
            <w:noWrap/>
            <w:vAlign w:val="center"/>
          </w:tcPr>
          <w:p>
            <w:pPr>
              <w:pStyle w:val="25"/>
              <w:jc w:val="center"/>
            </w:pPr>
          </w:p>
        </w:tc>
        <w:tc>
          <w:tcPr>
            <w:tcW w:w="6156"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r>
              <w:rPr>
                <w:rFonts w:hint="eastAsia"/>
              </w:rPr>
              <w:t>验收时间：                 年     月     日</w:t>
            </w:r>
          </w:p>
        </w:tc>
      </w:tr>
      <w:tr>
        <w:tblPrEx>
          <w:tblCellMar>
            <w:top w:w="0" w:type="dxa"/>
            <w:left w:w="108" w:type="dxa"/>
            <w:bottom w:w="0" w:type="dxa"/>
            <w:right w:w="108" w:type="dxa"/>
          </w:tblCellMar>
        </w:tblPrEx>
        <w:trPr>
          <w:trHeight w:val="654" w:hRule="atLeast"/>
        </w:trPr>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序号</w:t>
            </w:r>
          </w:p>
        </w:tc>
        <w:tc>
          <w:tcPr>
            <w:tcW w:w="213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物资编码</w:t>
            </w:r>
          </w:p>
        </w:tc>
        <w:tc>
          <w:tcPr>
            <w:tcW w:w="2472" w:type="dxa"/>
            <w:tcBorders>
              <w:top w:val="nil"/>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物资说明</w:t>
            </w:r>
          </w:p>
        </w:tc>
        <w:tc>
          <w:tcPr>
            <w:tcW w:w="1015" w:type="dxa"/>
            <w:tcBorders>
              <w:top w:val="nil"/>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数量</w:t>
            </w:r>
          </w:p>
        </w:tc>
        <w:tc>
          <w:tcPr>
            <w:tcW w:w="1016" w:type="dxa"/>
            <w:tcBorders>
              <w:top w:val="nil"/>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单位</w:t>
            </w:r>
          </w:p>
        </w:tc>
        <w:tc>
          <w:tcPr>
            <w:tcW w:w="1973" w:type="dxa"/>
            <w:tcBorders>
              <w:top w:val="nil"/>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存放地点</w:t>
            </w:r>
          </w:p>
        </w:tc>
        <w:tc>
          <w:tcPr>
            <w:tcW w:w="1294" w:type="dxa"/>
            <w:tcBorders>
              <w:top w:val="nil"/>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线路</w:t>
            </w:r>
          </w:p>
        </w:tc>
        <w:tc>
          <w:tcPr>
            <w:tcW w:w="1559" w:type="dxa"/>
            <w:tcBorders>
              <w:top w:val="nil"/>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验收结果</w:t>
            </w:r>
          </w:p>
        </w:tc>
        <w:tc>
          <w:tcPr>
            <w:tcW w:w="1330" w:type="dxa"/>
            <w:tcBorders>
              <w:top w:val="nil"/>
              <w:left w:val="single" w:color="000000" w:sz="4" w:space="0"/>
              <w:bottom w:val="single" w:color="000000" w:sz="4" w:space="0"/>
              <w:right w:val="single" w:color="000000" w:sz="4" w:space="0"/>
            </w:tcBorders>
            <w:shd w:val="clear" w:color="auto" w:fill="auto"/>
            <w:noWrap/>
            <w:vAlign w:val="center"/>
          </w:tcPr>
          <w:p>
            <w:pPr>
              <w:pStyle w:val="25"/>
              <w:ind w:firstLine="0" w:firstLineChars="0"/>
              <w:jc w:val="center"/>
            </w:pPr>
            <w:r>
              <w:rPr>
                <w:rFonts w:hint="eastAsia"/>
              </w:rPr>
              <w:t>备注</w:t>
            </w:r>
          </w:p>
        </w:tc>
      </w:tr>
      <w:tr>
        <w:tblPrEx>
          <w:tblCellMar>
            <w:top w:w="0" w:type="dxa"/>
            <w:left w:w="108" w:type="dxa"/>
            <w:bottom w:w="0" w:type="dxa"/>
            <w:right w:w="108" w:type="dxa"/>
          </w:tblCellMar>
        </w:tblPrEx>
        <w:trPr>
          <w:trHeight w:val="655" w:hRule="atLeast"/>
        </w:trPr>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213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2472"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973"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294"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r>
      <w:tr>
        <w:tblPrEx>
          <w:tblCellMar>
            <w:top w:w="0" w:type="dxa"/>
            <w:left w:w="108" w:type="dxa"/>
            <w:bottom w:w="0" w:type="dxa"/>
            <w:right w:w="108" w:type="dxa"/>
          </w:tblCellMar>
        </w:tblPrEx>
        <w:trPr>
          <w:trHeight w:val="700" w:hRule="atLeast"/>
        </w:trPr>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213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2472"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973"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294"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r>
      <w:tr>
        <w:tblPrEx>
          <w:tblCellMar>
            <w:top w:w="0" w:type="dxa"/>
            <w:left w:w="108" w:type="dxa"/>
            <w:bottom w:w="0" w:type="dxa"/>
            <w:right w:w="108" w:type="dxa"/>
          </w:tblCellMar>
        </w:tblPrEx>
        <w:trPr>
          <w:trHeight w:val="640" w:hRule="atLeast"/>
        </w:trPr>
        <w:tc>
          <w:tcPr>
            <w:tcW w:w="10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21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2472"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0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1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19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12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15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c>
          <w:tcPr>
            <w:tcW w:w="1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jc w:val="center"/>
            </w:pPr>
          </w:p>
        </w:tc>
      </w:tr>
      <w:tr>
        <w:tblPrEx>
          <w:tblCellMar>
            <w:top w:w="0" w:type="dxa"/>
            <w:left w:w="108" w:type="dxa"/>
            <w:bottom w:w="0" w:type="dxa"/>
            <w:right w:w="108" w:type="dxa"/>
          </w:tblCellMar>
        </w:tblPrEx>
        <w:trPr>
          <w:trHeight w:val="665" w:hRule="atLeast"/>
        </w:trPr>
        <w:tc>
          <w:tcPr>
            <w:tcW w:w="320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5"/>
              <w:ind w:firstLine="0" w:firstLineChars="0"/>
              <w:jc w:val="center"/>
            </w:pPr>
            <w:r>
              <w:rPr>
                <w:rFonts w:hint="eastAsia"/>
              </w:rPr>
              <w:t>使用部门（中心）经办人：</w:t>
            </w:r>
          </w:p>
        </w:tc>
        <w:tc>
          <w:tcPr>
            <w:tcW w:w="450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c>
          <w:tcPr>
            <w:tcW w:w="1973"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ind w:firstLine="0" w:firstLineChars="0"/>
              <w:jc w:val="center"/>
            </w:pPr>
            <w:r>
              <w:rPr>
                <w:rFonts w:hint="eastAsia"/>
              </w:rPr>
              <w:t>验收人员签名：</w:t>
            </w:r>
          </w:p>
        </w:tc>
        <w:tc>
          <w:tcPr>
            <w:tcW w:w="418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pStyle w:val="25"/>
              <w:jc w:val="center"/>
            </w:pPr>
          </w:p>
        </w:tc>
      </w:tr>
    </w:tbl>
    <w:p>
      <w:pPr>
        <w:pStyle w:val="25"/>
        <w:jc w:val="center"/>
      </w:pPr>
    </w:p>
    <w:p>
      <w:pPr>
        <w:pStyle w:val="30"/>
      </w:pPr>
      <w:r>
        <w:rPr>
          <w:rFonts w:hint="eastAsia"/>
          <w:lang w:val="en-US" w:eastAsia="zh-CN"/>
        </w:rPr>
        <w:t xml:space="preserve">  </w:t>
      </w:r>
      <w:r>
        <w:rPr>
          <w:rFonts w:hint="eastAsia"/>
        </w:rPr>
        <w:t>修复件和周转件物资入库清单</w:t>
      </w:r>
      <w:bookmarkEnd w:id="147"/>
      <w:bookmarkEnd w:id="148"/>
      <w:bookmarkEnd w:id="149"/>
      <w:bookmarkEnd w:id="150"/>
      <w:bookmarkEnd w:id="151"/>
      <w:bookmarkEnd w:id="152"/>
      <w:bookmarkEnd w:id="153"/>
      <w:bookmarkEnd w:id="154"/>
      <w:bookmarkEnd w:id="155"/>
      <w:bookmarkEnd w:id="156"/>
      <w:bookmarkEnd w:id="157"/>
    </w:p>
    <w:p>
      <w:pPr>
        <w:pStyle w:val="25"/>
      </w:pPr>
    </w:p>
    <w:p>
      <w:pPr>
        <w:pStyle w:val="25"/>
        <w:jc w:val="right"/>
      </w:pPr>
      <w:r>
        <w:t>JL/ZDYY-</w:t>
      </w:r>
      <w:r>
        <w:rPr>
          <w:rFonts w:hint="eastAsia"/>
        </w:rPr>
        <w:t>CG</w:t>
      </w:r>
      <w:r>
        <w:t>-</w:t>
      </w:r>
      <w:r>
        <w:rPr>
          <w:rFonts w:hint="eastAsia"/>
        </w:rPr>
        <w:t>XZ</w:t>
      </w:r>
      <w:r>
        <w:t>-</w:t>
      </w:r>
      <w:r>
        <w:rPr>
          <w:rFonts w:hint="eastAsia"/>
        </w:rPr>
        <w:t>**</w:t>
      </w:r>
    </w:p>
    <w:tbl>
      <w:tblPr>
        <w:tblStyle w:val="10"/>
        <w:tblW w:w="13780" w:type="dxa"/>
        <w:jc w:val="center"/>
        <w:tblLayout w:type="fixed"/>
        <w:tblCellMar>
          <w:top w:w="0" w:type="dxa"/>
          <w:left w:w="108" w:type="dxa"/>
          <w:bottom w:w="0" w:type="dxa"/>
          <w:right w:w="108" w:type="dxa"/>
        </w:tblCellMar>
      </w:tblPr>
      <w:tblGrid>
        <w:gridCol w:w="762"/>
        <w:gridCol w:w="704"/>
        <w:gridCol w:w="791"/>
        <w:gridCol w:w="1157"/>
        <w:gridCol w:w="879"/>
        <w:gridCol w:w="748"/>
        <w:gridCol w:w="747"/>
        <w:gridCol w:w="689"/>
        <w:gridCol w:w="748"/>
        <w:gridCol w:w="1290"/>
        <w:gridCol w:w="1011"/>
        <w:gridCol w:w="844"/>
        <w:gridCol w:w="945"/>
        <w:gridCol w:w="965"/>
        <w:gridCol w:w="806"/>
        <w:gridCol w:w="694"/>
      </w:tblGrid>
      <w:tr>
        <w:tblPrEx>
          <w:tblCellMar>
            <w:top w:w="0" w:type="dxa"/>
            <w:left w:w="108" w:type="dxa"/>
            <w:bottom w:w="0" w:type="dxa"/>
            <w:right w:w="108" w:type="dxa"/>
          </w:tblCellMar>
        </w:tblPrEx>
        <w:trPr>
          <w:trHeight w:val="673" w:hRule="atLeast"/>
          <w:jc w:val="center"/>
        </w:trPr>
        <w:tc>
          <w:tcPr>
            <w:tcW w:w="13780" w:type="dxa"/>
            <w:gridSpan w:val="16"/>
            <w:tcBorders>
              <w:top w:val="nil"/>
              <w:left w:val="nil"/>
              <w:bottom w:val="nil"/>
              <w:right w:val="nil"/>
            </w:tcBorders>
            <w:shd w:val="clear" w:color="auto" w:fill="auto"/>
            <w:noWrap/>
            <w:vAlign w:val="center"/>
          </w:tcPr>
          <w:p>
            <w:pPr>
              <w:widowControl/>
              <w:jc w:val="center"/>
              <w:textAlignment w:val="center"/>
              <w:rPr>
                <w:rFonts w:ascii="宋体" w:hAnsi="宋体" w:cs="宋体"/>
                <w:color w:val="000000"/>
                <w:kern w:val="0"/>
                <w:sz w:val="22"/>
                <w:szCs w:val="22"/>
                <w:lang w:bidi="ar"/>
              </w:rPr>
            </w:pPr>
            <w:bookmarkStart w:id="158" w:name="_Toc6325"/>
            <w:bookmarkEnd w:id="158"/>
            <w:r>
              <w:rPr>
                <w:rFonts w:hint="eastAsia" w:ascii="宋体" w:hAnsi="宋体" w:cs="宋体"/>
                <w:color w:val="000000"/>
                <w:kern w:val="0"/>
                <w:sz w:val="22"/>
                <w:szCs w:val="22"/>
                <w:lang w:bidi="ar"/>
              </w:rPr>
              <w:t>修复件和周转件入库清单</w:t>
            </w:r>
          </w:p>
          <w:p>
            <w:pPr>
              <w:widowControl/>
              <w:wordWrap w:val="0"/>
              <w:jc w:val="right"/>
              <w:textAlignment w:val="center"/>
              <w:rPr>
                <w:rFonts w:ascii="宋体" w:hAnsi="宋体" w:cs="宋体"/>
                <w:color w:val="000000"/>
                <w:kern w:val="0"/>
                <w:sz w:val="22"/>
                <w:szCs w:val="22"/>
                <w:lang w:bidi="ar"/>
              </w:rPr>
            </w:pPr>
            <w:r>
              <w:rPr>
                <w:rFonts w:hint="eastAsia" w:ascii="宋体" w:hAnsi="宋体" w:cs="宋体"/>
                <w:color w:val="000000"/>
                <w:kern w:val="0"/>
                <w:sz w:val="18"/>
                <w:szCs w:val="18"/>
                <w:lang w:bidi="ar"/>
              </w:rPr>
              <w:t xml:space="preserve">日期：           </w:t>
            </w:r>
          </w:p>
        </w:tc>
      </w:tr>
      <w:tr>
        <w:tblPrEx>
          <w:tblCellMar>
            <w:top w:w="0" w:type="dxa"/>
            <w:left w:w="108" w:type="dxa"/>
            <w:bottom w:w="0" w:type="dxa"/>
            <w:right w:w="108" w:type="dxa"/>
          </w:tblCellMar>
        </w:tblPrEx>
        <w:trPr>
          <w:trHeight w:val="787"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序号</w:t>
            </w:r>
          </w:p>
        </w:tc>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线路</w:t>
            </w:r>
          </w:p>
        </w:tc>
        <w:tc>
          <w:tcPr>
            <w:tcW w:w="79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物资编码</w:t>
            </w:r>
          </w:p>
        </w:tc>
        <w:tc>
          <w:tcPr>
            <w:tcW w:w="115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编码库物资说明</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单位</w:t>
            </w:r>
          </w:p>
        </w:tc>
        <w:tc>
          <w:tcPr>
            <w:tcW w:w="74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资产类别</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物资类型</w:t>
            </w:r>
          </w:p>
        </w:tc>
        <w:tc>
          <w:tcPr>
            <w:tcW w:w="68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编码状态</w:t>
            </w:r>
          </w:p>
        </w:tc>
        <w:tc>
          <w:tcPr>
            <w:tcW w:w="74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数量</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WMS入库子库存编码</w:t>
            </w: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子库存说明</w:t>
            </w:r>
          </w:p>
        </w:tc>
        <w:tc>
          <w:tcPr>
            <w:tcW w:w="8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WMS货位编码</w:t>
            </w:r>
          </w:p>
        </w:tc>
        <w:tc>
          <w:tcPr>
            <w:tcW w:w="9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WMS货位说明</w:t>
            </w:r>
          </w:p>
        </w:tc>
        <w:tc>
          <w:tcPr>
            <w:tcW w:w="96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物资归属中心</w:t>
            </w:r>
          </w:p>
        </w:tc>
        <w:tc>
          <w:tcPr>
            <w:tcW w:w="80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exact"/>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申请人员</w:t>
            </w:r>
          </w:p>
        </w:tc>
        <w:tc>
          <w:tcPr>
            <w:tcW w:w="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备注</w:t>
            </w:r>
          </w:p>
        </w:tc>
      </w:tr>
      <w:tr>
        <w:tblPrEx>
          <w:tblCellMar>
            <w:top w:w="0" w:type="dxa"/>
            <w:left w:w="108" w:type="dxa"/>
            <w:bottom w:w="0" w:type="dxa"/>
            <w:right w:w="108" w:type="dxa"/>
          </w:tblCellMar>
        </w:tblPrEx>
        <w:trPr>
          <w:trHeight w:val="550"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1</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r>
        <w:tblPrEx>
          <w:tblCellMar>
            <w:top w:w="0" w:type="dxa"/>
            <w:left w:w="108" w:type="dxa"/>
            <w:bottom w:w="0" w:type="dxa"/>
            <w:right w:w="108" w:type="dxa"/>
          </w:tblCellMar>
        </w:tblPrEx>
        <w:trPr>
          <w:trHeight w:val="550"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2</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r>
        <w:tblPrEx>
          <w:tblCellMar>
            <w:top w:w="0" w:type="dxa"/>
            <w:left w:w="108" w:type="dxa"/>
            <w:bottom w:w="0" w:type="dxa"/>
            <w:right w:w="108" w:type="dxa"/>
          </w:tblCellMar>
        </w:tblPrEx>
        <w:trPr>
          <w:trHeight w:val="550"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3</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r>
        <w:tblPrEx>
          <w:tblCellMar>
            <w:top w:w="0" w:type="dxa"/>
            <w:left w:w="108" w:type="dxa"/>
            <w:bottom w:w="0" w:type="dxa"/>
            <w:right w:w="108" w:type="dxa"/>
          </w:tblCellMar>
        </w:tblPrEx>
        <w:trPr>
          <w:trHeight w:val="550"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4</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r>
        <w:tblPrEx>
          <w:tblCellMar>
            <w:top w:w="0" w:type="dxa"/>
            <w:left w:w="108" w:type="dxa"/>
            <w:bottom w:w="0" w:type="dxa"/>
            <w:right w:w="108" w:type="dxa"/>
          </w:tblCellMar>
        </w:tblPrEx>
        <w:trPr>
          <w:trHeight w:val="550"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5</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r>
        <w:tblPrEx>
          <w:tblCellMar>
            <w:top w:w="0" w:type="dxa"/>
            <w:left w:w="108" w:type="dxa"/>
            <w:bottom w:w="0" w:type="dxa"/>
            <w:right w:w="108" w:type="dxa"/>
          </w:tblCellMar>
        </w:tblPrEx>
        <w:trPr>
          <w:trHeight w:val="550"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6</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r>
        <w:tblPrEx>
          <w:tblCellMar>
            <w:top w:w="0" w:type="dxa"/>
            <w:left w:w="108" w:type="dxa"/>
            <w:bottom w:w="0" w:type="dxa"/>
            <w:right w:w="108" w:type="dxa"/>
          </w:tblCellMar>
        </w:tblPrEx>
        <w:trPr>
          <w:trHeight w:val="561" w:hRule="atLeast"/>
          <w:jc w:val="center"/>
        </w:trPr>
        <w:tc>
          <w:tcPr>
            <w:tcW w:w="7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7</w:t>
            </w:r>
          </w:p>
        </w:tc>
        <w:tc>
          <w:tcPr>
            <w:tcW w:w="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9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8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color w:val="000000"/>
                <w:sz w:val="20"/>
                <w:szCs w:val="20"/>
              </w:rPr>
            </w:pPr>
          </w:p>
        </w:tc>
      </w:tr>
    </w:tbl>
    <w:p>
      <w:pPr>
        <w:pStyle w:val="25"/>
        <w:tabs>
          <w:tab w:val="clear" w:pos="4201"/>
          <w:tab w:val="clear" w:pos="9298"/>
        </w:tabs>
        <w:ind w:firstLine="0" w:firstLineChars="0"/>
        <w:jc w:val="left"/>
        <w:rPr>
          <w:rFonts w:ascii="黑体" w:hAnsi="黑体" w:eastAsia="黑体" w:cs="黑体"/>
        </w:rPr>
      </w:pPr>
      <w:bookmarkStart w:id="159" w:name="_Toc22543"/>
      <w:bookmarkEnd w:id="159"/>
      <w:bookmarkStart w:id="160" w:name="_Toc9569"/>
      <w:bookmarkEnd w:id="160"/>
      <w:bookmarkStart w:id="161" w:name="_Toc24335"/>
      <w:bookmarkEnd w:id="161"/>
      <w:bookmarkStart w:id="162" w:name="_Toc6185"/>
      <w:bookmarkEnd w:id="162"/>
      <w:bookmarkStart w:id="163" w:name="_Toc22675"/>
      <w:bookmarkEnd w:id="163"/>
    </w:p>
    <w:p>
      <w:pPr>
        <w:pStyle w:val="25"/>
        <w:tabs>
          <w:tab w:val="clear" w:pos="4201"/>
          <w:tab w:val="clear" w:pos="9298"/>
        </w:tabs>
        <w:ind w:firstLine="0" w:firstLineChars="0"/>
        <w:jc w:val="left"/>
        <w:rPr>
          <w:rFonts w:ascii="黑体" w:hAnsi="黑体" w:eastAsia="黑体" w:cs="黑体"/>
        </w:rPr>
      </w:pPr>
    </w:p>
    <w:sectPr>
      <w:footerReference r:id="rId8" w:type="default"/>
      <w:pgSz w:w="16838" w:h="11906" w:orient="landscape"/>
      <w:pgMar w:top="1800" w:right="1440" w:bottom="1800" w:left="1440"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8zq8sIBAACN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GfM6vLCAQAAjQMAAA4AAAAAAAAAAQAgAAAAHgEAAGRycy9lMm9Eb2MueG1sUEsF&#10;BgAAAAAGAAYAWQEAAFIFAAAAAA==&#10;">
              <v:fill on="f" focussize="0,0"/>
              <v:stroke on="f"/>
              <v:imagedata o:title=""/>
              <o:lock v:ext="edit" aspectratio="f"/>
              <v:textbox inset="0mm,0mm,0mm,0mm" style="mso-fit-shape-to-text:t;">
                <w:txbxContent>
                  <w:p>
                    <w:pPr>
                      <w:pStyle w:val="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3"/>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pPr>
                      <w:pStyle w:val="33"/>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Xf0g8IBAACN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Bl39IPCAQAAjQMAAA4AAAAAAAAAAQAgAAAAHgEAAGRycy9lMm9Eb2MueG1sUEsF&#10;BgAAAAAGAAYAWQEAAFIFAAAAAA==&#10;">
              <v:fill on="f" focussize="0,0"/>
              <v:stroke on="f"/>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E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mD3Lwlbv&#10;LI/QUR5vV8cAOZPKUZROCXQnHjB9qU/9psTx/vOcoh7/HZ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w/hMQIAAGUEAAAOAAAAAAAAAAEAIAAAAB8BAABkcnMvZTJvRG9jLnhtbFBLBQYA&#10;AAAABgAGAFkBAADCBQAAAAA=&#10;">
              <v:fill on="f" focussize="0,0"/>
              <v:stroke on="f" weight="0.5pt"/>
              <v:imagedata o:title=""/>
              <o:lock v:ext="edit" aspectratio="f"/>
              <v:textbox inset="0mm,0mm,0mm,0mm" style="mso-fit-shape-to-text:t;">
                <w:txbxContent>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right="918"/>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spacing w:before="0" w:beforeAutospacing="0" w:after="0" w:afterAutospacing="0"/>
      <w:jc w:val="right"/>
      <w:rPr>
        <w:rFonts w:eastAsia="微软雅黑"/>
      </w:rPr>
    </w:pPr>
    <w:r>
      <w:rPr>
        <w:rFonts w:hint="eastAsia" w:ascii="微软雅黑" w:hAnsi="微软雅黑" w:eastAsia="微软雅黑" w:cs="微软雅黑"/>
        <w:color w:val="000000"/>
        <w:sz w:val="21"/>
        <w:szCs w:val="21"/>
      </w:rPr>
      <w:t>Q/ZDYY-C</w:t>
    </w:r>
    <w:r>
      <w:rPr>
        <w:rFonts w:hint="eastAsia" w:ascii="微软雅黑" w:hAnsi="微软雅黑" w:eastAsia="微软雅黑" w:cs="微软雅黑"/>
        <w:color w:val="000000"/>
        <w:sz w:val="21"/>
        <w:szCs w:val="21"/>
        <w:lang w:val="en-US" w:eastAsia="zh-CN"/>
      </w:rPr>
      <w:t>CH</w:t>
    </w:r>
    <w:r>
      <w:rPr>
        <w:rFonts w:hint="eastAsia" w:ascii="微软雅黑" w:hAnsi="微软雅黑" w:eastAsia="微软雅黑" w:cs="微软雅黑"/>
        <w:color w:val="000000"/>
        <w:sz w:val="21"/>
        <w:szCs w:val="21"/>
      </w:rPr>
      <w:t>-XZ-</w:t>
    </w:r>
    <w:r>
      <w:rPr>
        <w:rFonts w:hint="eastAsia" w:ascii="微软雅黑" w:hAnsi="微软雅黑" w:eastAsia="微软雅黑" w:cs="微软雅黑"/>
        <w:color w:val="000000"/>
        <w:sz w:val="21"/>
        <w:szCs w:val="21"/>
        <w:lang w:val="en-US" w:eastAsia="zh-CN"/>
      </w:rPr>
      <w:t>01</w:t>
    </w:r>
    <w:r>
      <w:rPr>
        <w:rFonts w:hint="eastAsia" w:ascii="微软雅黑" w:hAnsi="微软雅黑" w:eastAsia="微软雅黑" w:cs="微软雅黑"/>
        <w:color w:val="000000"/>
        <w:sz w:val="21"/>
        <w:szCs w:val="21"/>
      </w:rPr>
      <w:t>-A/0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jc w:val="right"/>
    </w:pPr>
    <w:r>
      <w:rPr>
        <w:rFonts w:hint="eastAsia" w:ascii="微软雅黑" w:hAnsi="微软雅黑" w:eastAsia="微软雅黑" w:cs="微软雅黑"/>
        <w:color w:val="000000"/>
        <w:sz w:val="21"/>
        <w:szCs w:val="21"/>
      </w:rPr>
      <w:t>Q/ZDYY-C</w:t>
    </w:r>
    <w:r>
      <w:rPr>
        <w:rFonts w:hint="eastAsia" w:ascii="微软雅黑" w:hAnsi="微软雅黑" w:eastAsia="微软雅黑" w:cs="微软雅黑"/>
        <w:color w:val="000000"/>
        <w:sz w:val="21"/>
        <w:szCs w:val="21"/>
        <w:lang w:val="en-US" w:eastAsia="zh-CN"/>
      </w:rPr>
      <w:t>CH</w:t>
    </w:r>
    <w:r>
      <w:rPr>
        <w:rFonts w:hint="eastAsia" w:ascii="微软雅黑" w:hAnsi="微软雅黑" w:eastAsia="微软雅黑" w:cs="微软雅黑"/>
        <w:color w:val="000000"/>
        <w:sz w:val="21"/>
        <w:szCs w:val="21"/>
      </w:rPr>
      <w:t>-XZ-</w:t>
    </w:r>
    <w:r>
      <w:rPr>
        <w:rFonts w:hint="eastAsia" w:ascii="微软雅黑" w:hAnsi="微软雅黑" w:eastAsia="微软雅黑" w:cs="微软雅黑"/>
        <w:color w:val="000000"/>
        <w:sz w:val="21"/>
        <w:szCs w:val="21"/>
        <w:lang w:val="en-US" w:eastAsia="zh-CN"/>
      </w:rPr>
      <w:t>01</w:t>
    </w:r>
    <w:r>
      <w:rPr>
        <w:rFonts w:hint="eastAsia" w:ascii="微软雅黑" w:hAnsi="微软雅黑" w:eastAsia="微软雅黑" w:cs="微软雅黑"/>
        <w:color w:val="000000"/>
        <w:sz w:val="21"/>
        <w:szCs w:val="21"/>
      </w:rPr>
      <w:t>-A/0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pStyle w:val="2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8"/>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6379" w:hanging="284"/>
      </w:pPr>
      <w:rPr>
        <w:rFonts w:hint="eastAsia" w:ascii="黑体" w:hAnsi="Times New Roman" w:eastAsia="黑体"/>
        <w:b w:val="0"/>
        <w:i w:val="0"/>
        <w:color w:val="auto"/>
        <w:sz w:val="21"/>
      </w:rPr>
    </w:lvl>
    <w:lvl w:ilvl="3" w:tentative="0">
      <w:start w:val="1"/>
      <w:numFmt w:val="decimal"/>
      <w:suff w:val="nothing"/>
      <w:lvlText w:val="%1.%2.%3.%4　"/>
      <w:lvlJc w:val="left"/>
      <w:pPr>
        <w:ind w:left="0" w:firstLine="0"/>
      </w:pPr>
      <w:rPr>
        <w:rFonts w:hint="default" w:ascii="黑体" w:hAnsi="Times New Roman" w:eastAsia="黑体"/>
        <w:b w:val="0"/>
        <w:i w:val="0"/>
        <w:color w:val="auto"/>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284" w:firstLine="2693"/>
      </w:pPr>
      <w:rPr>
        <w:rFonts w:hint="eastAsia"/>
      </w:rPr>
    </w:lvl>
  </w:abstractNum>
  <w:abstractNum w:abstractNumId="1">
    <w:nsid w:val="2A8F7113"/>
    <w:multiLevelType w:val="multilevel"/>
    <w:tmpl w:val="2A8F7113"/>
    <w:lvl w:ilvl="0" w:tentative="0">
      <w:start w:val="1"/>
      <w:numFmt w:val="upperLetter"/>
      <w:pStyle w:val="31"/>
      <w:suff w:val="space"/>
      <w:lvlText w:val="%1"/>
      <w:lvlJc w:val="left"/>
      <w:pPr>
        <w:ind w:left="623" w:hanging="425"/>
      </w:pPr>
      <w:rPr>
        <w:rFonts w:hint="eastAsia"/>
      </w:rPr>
    </w:lvl>
    <w:lvl w:ilvl="1" w:tentative="0">
      <w:start w:val="1"/>
      <w:numFmt w:val="decimal"/>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
    <w:nsid w:val="60B55DC2"/>
    <w:multiLevelType w:val="multilevel"/>
    <w:tmpl w:val="60B55DC2"/>
    <w:lvl w:ilvl="0" w:tentative="0">
      <w:start w:val="1"/>
      <w:numFmt w:val="upperLetter"/>
      <w:pStyle w:val="32"/>
      <w:lvlText w:val="%1"/>
      <w:lvlJc w:val="left"/>
      <w:pPr>
        <w:tabs>
          <w:tab w:val="left" w:pos="0"/>
        </w:tabs>
        <w:ind w:left="0" w:hanging="425"/>
      </w:pPr>
      <w:rPr>
        <w:rFonts w:hint="eastAsia"/>
      </w:rPr>
    </w:lvl>
    <w:lvl w:ilvl="1" w:tentative="0">
      <w:start w:val="1"/>
      <w:numFmt w:val="decimal"/>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
    <w:nsid w:val="657D3FBC"/>
    <w:multiLevelType w:val="multilevel"/>
    <w:tmpl w:val="657D3FBC"/>
    <w:lvl w:ilvl="0" w:tentative="0">
      <w:start w:val="1"/>
      <w:numFmt w:val="upperLetter"/>
      <w:pStyle w:val="30"/>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0"/>
  </w:num>
  <w:num w:numId="2">
    <w:abstractNumId w:val="3"/>
  </w:num>
  <w:num w:numId="3">
    <w:abstractNumId w:val="1"/>
  </w:num>
  <w:num w:numId="4">
    <w:abstractNumId w:val="2"/>
  </w:num>
  <w:num w:numId="5">
    <w:abstractNumId w:val="0"/>
    <w:lvlOverride w:ilvl="0">
      <w:lvl w:ilvl="0" w:tentative="1">
        <w:start w:val="1"/>
        <w:numFmt w:val="decimal"/>
        <w:suff w:val="nothing"/>
        <w:lvlText w:val="%1　"/>
        <w:lvlJc w:val="left"/>
        <w:pPr>
          <w:ind w:left="0" w:firstLine="0"/>
        </w:pPr>
        <w:rPr>
          <w:rFonts w:hint="eastAsia" w:ascii="黑体" w:hAnsi="Times New Roman" w:eastAsia="黑体"/>
          <w:b w:val="0"/>
          <w:i w:val="0"/>
          <w:sz w:val="21"/>
          <w:szCs w:val="21"/>
        </w:rPr>
      </w:lvl>
    </w:lvlOverride>
    <w:lvlOverride w:ilvl="1">
      <w:lvl w:ilvl="1" w:tentative="1">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Override>
    <w:lvlOverride w:ilvl="2">
      <w:lvl w:ilvl="2" w:tentative="1">
        <w:start w:val="1"/>
        <w:numFmt w:val="decimal"/>
        <w:suff w:val="nothing"/>
        <w:lvlText w:val="%1.%2.%3　"/>
        <w:lvlJc w:val="left"/>
        <w:pPr>
          <w:ind w:left="0" w:firstLine="0"/>
        </w:pPr>
        <w:rPr>
          <w:rFonts w:hint="eastAsia" w:ascii="黑体" w:hAnsi="Times New Roman" w:eastAsia="黑体"/>
          <w:b w:val="0"/>
          <w:i w:val="0"/>
          <w:sz w:val="21"/>
        </w:rPr>
      </w:lvl>
    </w:lvlOverride>
    <w:lvlOverride w:ilvl="3">
      <w:lvl w:ilvl="3" w:tentative="1">
        <w:start w:val="1"/>
        <w:numFmt w:val="decimal"/>
        <w:suff w:val="nothing"/>
        <w:lvlText w:val="%1.%2.%3.%4　"/>
        <w:lvlJc w:val="left"/>
        <w:pPr>
          <w:ind w:left="0" w:firstLine="0"/>
        </w:pPr>
        <w:rPr>
          <w:rFonts w:hint="eastAsia" w:ascii="黑体" w:hAnsi="Times New Roman" w:eastAsia="黑体"/>
          <w:b w:val="0"/>
          <w:i w:val="0"/>
          <w:sz w:val="21"/>
        </w:rPr>
      </w:lvl>
    </w:lvlOverride>
    <w:lvlOverride w:ilvl="4">
      <w:lvl w:ilvl="4" w:tentative="1">
        <w:start w:val="1"/>
        <w:numFmt w:val="decimal"/>
        <w:suff w:val="nothing"/>
        <w:lvlText w:val="%1.%2.%3.%4.%5　"/>
        <w:lvlJc w:val="left"/>
        <w:pPr>
          <w:ind w:left="1276" w:firstLine="0"/>
        </w:pPr>
        <w:rPr>
          <w:rFonts w:hint="eastAsia" w:ascii="黑体" w:hAnsi="Times New Roman" w:eastAsia="黑体"/>
          <w:b w:val="0"/>
          <w:i w:val="0"/>
          <w:sz w:val="21"/>
        </w:rPr>
      </w:lvl>
    </w:lvlOverride>
    <w:lvlOverride w:ilvl="5">
      <w:lvl w:ilvl="5" w:tentative="1">
        <w:start w:val="1"/>
        <w:numFmt w:val="decimal"/>
        <w:suff w:val="nothing"/>
        <w:lvlText w:val="%1.%2.%3.%4.%5.%6　"/>
        <w:lvlJc w:val="left"/>
        <w:pPr>
          <w:ind w:left="0" w:firstLine="0"/>
        </w:pPr>
        <w:rPr>
          <w:rFonts w:hint="eastAsia" w:ascii="黑体" w:hAnsi="Times New Roman" w:eastAsia="黑体"/>
          <w:b w:val="0"/>
          <w:i w:val="0"/>
          <w:sz w:val="21"/>
        </w:rPr>
      </w:lvl>
    </w:lvlOverride>
    <w:lvlOverride w:ilvl="6">
      <w:lvl w:ilvl="6" w:tentative="1">
        <w:start w:val="1"/>
        <w:numFmt w:val="decimal"/>
        <w:suff w:val="nothing"/>
        <w:lvlText w:val="%1%2.%3.%4.%5.%6.%7　"/>
        <w:lvlJc w:val="left"/>
        <w:pPr>
          <w:ind w:left="0" w:firstLine="0"/>
        </w:pPr>
        <w:rPr>
          <w:rFonts w:hint="eastAsia" w:ascii="黑体" w:hAnsi="Times New Roman" w:eastAsia="黑体"/>
          <w:b w:val="0"/>
          <w:i w:val="0"/>
          <w:sz w:val="21"/>
        </w:rPr>
      </w:lvl>
    </w:lvlOverride>
    <w:lvlOverride w:ilvl="7">
      <w:lvl w:ilvl="7" w:tentative="1">
        <w:start w:val="1"/>
        <w:numFmt w:val="decimal"/>
        <w:lvlText w:val="%1.%2.%3.%4.%5.%6.%7.%8"/>
        <w:lvlJc w:val="left"/>
        <w:pPr>
          <w:tabs>
            <w:tab w:val="left" w:pos="4351"/>
          </w:tabs>
          <w:ind w:left="3969" w:hanging="1418"/>
        </w:pPr>
        <w:rPr>
          <w:rFonts w:hint="eastAsia"/>
        </w:rPr>
      </w:lvl>
    </w:lvlOverride>
    <w:lvlOverride w:ilvl="8">
      <w:lvl w:ilvl="8" w:tentative="1">
        <w:start w:val="1"/>
        <w:numFmt w:val="decimal"/>
        <w:lvlText w:val="%1.%2.%3.%4.%5.%6.%7.%8.%9"/>
        <w:lvlJc w:val="left"/>
        <w:pPr>
          <w:tabs>
            <w:tab w:val="left" w:pos="4777"/>
          </w:tabs>
          <w:ind w:left="4677"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dit="trackedChanges" w:enforcement="1" w:cryptProviderType="rsaFull" w:cryptAlgorithmClass="hash" w:cryptAlgorithmType="typeAny" w:cryptAlgorithmSid="4" w:cryptSpinCount="0" w:hash="X8xY3fhLkbZvvaHG+sX8DhYfids=" w:salt="rVSGUK2U8DClthddatv06Q=="/>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ztFileName" w:val="133546992226309554NW"/>
    <w:docVar w:name="aztPrintName" w:val="000000ESAOAPRINT"/>
    <w:docVar w:name="aztPrintType" w:val="2"/>
    <w:docVar w:name="commondata" w:val="eyJoZGlkIjoiYzQyNjdhYjdmZmZjZWVkYjdmZDY0YTUxMWVkYTQ2ZjEifQ=="/>
  </w:docVars>
  <w:rsids>
    <w:rsidRoot w:val="00C51364"/>
    <w:rsid w:val="00010A6B"/>
    <w:rsid w:val="0004710F"/>
    <w:rsid w:val="000765BF"/>
    <w:rsid w:val="000A13E3"/>
    <w:rsid w:val="001137B0"/>
    <w:rsid w:val="00144DA9"/>
    <w:rsid w:val="001837F6"/>
    <w:rsid w:val="001903A9"/>
    <w:rsid w:val="001B1591"/>
    <w:rsid w:val="001B689C"/>
    <w:rsid w:val="00202708"/>
    <w:rsid w:val="0020417C"/>
    <w:rsid w:val="00236025"/>
    <w:rsid w:val="00263674"/>
    <w:rsid w:val="002667A2"/>
    <w:rsid w:val="002B0CFA"/>
    <w:rsid w:val="002D563F"/>
    <w:rsid w:val="002E6A29"/>
    <w:rsid w:val="003211D5"/>
    <w:rsid w:val="0032322B"/>
    <w:rsid w:val="00342ACC"/>
    <w:rsid w:val="00366563"/>
    <w:rsid w:val="00380570"/>
    <w:rsid w:val="003B4CE4"/>
    <w:rsid w:val="0040336F"/>
    <w:rsid w:val="0048025C"/>
    <w:rsid w:val="004945DF"/>
    <w:rsid w:val="004A65CF"/>
    <w:rsid w:val="004D24F0"/>
    <w:rsid w:val="004D434B"/>
    <w:rsid w:val="004E6224"/>
    <w:rsid w:val="004F713D"/>
    <w:rsid w:val="00507B8D"/>
    <w:rsid w:val="005574BD"/>
    <w:rsid w:val="00700E65"/>
    <w:rsid w:val="00705423"/>
    <w:rsid w:val="00734A8B"/>
    <w:rsid w:val="00740651"/>
    <w:rsid w:val="0075555E"/>
    <w:rsid w:val="00760AAE"/>
    <w:rsid w:val="007620E4"/>
    <w:rsid w:val="007807E9"/>
    <w:rsid w:val="007D0648"/>
    <w:rsid w:val="008424DE"/>
    <w:rsid w:val="00864E83"/>
    <w:rsid w:val="00871876"/>
    <w:rsid w:val="00873828"/>
    <w:rsid w:val="00875136"/>
    <w:rsid w:val="00924025"/>
    <w:rsid w:val="009267F2"/>
    <w:rsid w:val="00932829"/>
    <w:rsid w:val="0096672D"/>
    <w:rsid w:val="00983862"/>
    <w:rsid w:val="0099505A"/>
    <w:rsid w:val="009B5217"/>
    <w:rsid w:val="009D064B"/>
    <w:rsid w:val="009F6A5A"/>
    <w:rsid w:val="00A526C0"/>
    <w:rsid w:val="00A6164E"/>
    <w:rsid w:val="00A8620F"/>
    <w:rsid w:val="00AE35BB"/>
    <w:rsid w:val="00AE4377"/>
    <w:rsid w:val="00B4285E"/>
    <w:rsid w:val="00B44642"/>
    <w:rsid w:val="00B82523"/>
    <w:rsid w:val="00B85A78"/>
    <w:rsid w:val="00C51364"/>
    <w:rsid w:val="00C6269C"/>
    <w:rsid w:val="00C70501"/>
    <w:rsid w:val="00C92813"/>
    <w:rsid w:val="00D03CAF"/>
    <w:rsid w:val="00D86A0F"/>
    <w:rsid w:val="00D943F1"/>
    <w:rsid w:val="00DC19CA"/>
    <w:rsid w:val="00DF2D39"/>
    <w:rsid w:val="00E70D09"/>
    <w:rsid w:val="00E7783D"/>
    <w:rsid w:val="00E85530"/>
    <w:rsid w:val="00EA79B9"/>
    <w:rsid w:val="00EF48C8"/>
    <w:rsid w:val="00F10F3D"/>
    <w:rsid w:val="00F35819"/>
    <w:rsid w:val="00F36DC2"/>
    <w:rsid w:val="00F67AFC"/>
    <w:rsid w:val="00FB6486"/>
    <w:rsid w:val="01011432"/>
    <w:rsid w:val="025A5548"/>
    <w:rsid w:val="026E71A1"/>
    <w:rsid w:val="0280039E"/>
    <w:rsid w:val="02E54359"/>
    <w:rsid w:val="02E96A7B"/>
    <w:rsid w:val="03CF48D8"/>
    <w:rsid w:val="03F47F88"/>
    <w:rsid w:val="05C018BB"/>
    <w:rsid w:val="06760715"/>
    <w:rsid w:val="06C20582"/>
    <w:rsid w:val="06C62F02"/>
    <w:rsid w:val="075F23B9"/>
    <w:rsid w:val="076D7559"/>
    <w:rsid w:val="08091C47"/>
    <w:rsid w:val="092322BA"/>
    <w:rsid w:val="099F31F7"/>
    <w:rsid w:val="09BC4BD7"/>
    <w:rsid w:val="0D015662"/>
    <w:rsid w:val="0D520D5A"/>
    <w:rsid w:val="0D644C42"/>
    <w:rsid w:val="0ED50A70"/>
    <w:rsid w:val="0ED902A7"/>
    <w:rsid w:val="0EE9589B"/>
    <w:rsid w:val="0FDB54EE"/>
    <w:rsid w:val="102F2C86"/>
    <w:rsid w:val="10725009"/>
    <w:rsid w:val="12126B35"/>
    <w:rsid w:val="12AB43E5"/>
    <w:rsid w:val="12F7395F"/>
    <w:rsid w:val="130A5C45"/>
    <w:rsid w:val="13CA5BEE"/>
    <w:rsid w:val="14AD7424"/>
    <w:rsid w:val="14CD42EB"/>
    <w:rsid w:val="164B67B8"/>
    <w:rsid w:val="171C4E0B"/>
    <w:rsid w:val="17294D93"/>
    <w:rsid w:val="174920BA"/>
    <w:rsid w:val="17777D51"/>
    <w:rsid w:val="17AD5A18"/>
    <w:rsid w:val="17DD4ED8"/>
    <w:rsid w:val="19200B44"/>
    <w:rsid w:val="193A7302"/>
    <w:rsid w:val="1A4F1BB2"/>
    <w:rsid w:val="1AE95969"/>
    <w:rsid w:val="1DBB0287"/>
    <w:rsid w:val="1DDF08F0"/>
    <w:rsid w:val="1E951999"/>
    <w:rsid w:val="21730876"/>
    <w:rsid w:val="220C6969"/>
    <w:rsid w:val="264D1794"/>
    <w:rsid w:val="284833B2"/>
    <w:rsid w:val="29016A13"/>
    <w:rsid w:val="293C5C32"/>
    <w:rsid w:val="2A402F3E"/>
    <w:rsid w:val="2B3B74A1"/>
    <w:rsid w:val="2B7D3C27"/>
    <w:rsid w:val="2D8F7032"/>
    <w:rsid w:val="2DE02DD3"/>
    <w:rsid w:val="2DE5081A"/>
    <w:rsid w:val="2ED74433"/>
    <w:rsid w:val="2EDC491A"/>
    <w:rsid w:val="2F6A2A64"/>
    <w:rsid w:val="30C01224"/>
    <w:rsid w:val="30CC4A9F"/>
    <w:rsid w:val="30F2321F"/>
    <w:rsid w:val="320C2BC2"/>
    <w:rsid w:val="3253131B"/>
    <w:rsid w:val="325E612F"/>
    <w:rsid w:val="32670F4E"/>
    <w:rsid w:val="34620106"/>
    <w:rsid w:val="34880D58"/>
    <w:rsid w:val="349F56CD"/>
    <w:rsid w:val="34A55784"/>
    <w:rsid w:val="35270760"/>
    <w:rsid w:val="35470462"/>
    <w:rsid w:val="35AF0E81"/>
    <w:rsid w:val="35B36387"/>
    <w:rsid w:val="39A80727"/>
    <w:rsid w:val="39B169C0"/>
    <w:rsid w:val="39F552D0"/>
    <w:rsid w:val="3B145525"/>
    <w:rsid w:val="3B47390A"/>
    <w:rsid w:val="3B747FF7"/>
    <w:rsid w:val="3B9E1DBF"/>
    <w:rsid w:val="3BBE3960"/>
    <w:rsid w:val="3BD64F6A"/>
    <w:rsid w:val="3CAD29BF"/>
    <w:rsid w:val="3CC64CD6"/>
    <w:rsid w:val="3D546079"/>
    <w:rsid w:val="3D7529B0"/>
    <w:rsid w:val="3D996F63"/>
    <w:rsid w:val="3DF333E1"/>
    <w:rsid w:val="3E9C21BE"/>
    <w:rsid w:val="3F651753"/>
    <w:rsid w:val="3F8A5C79"/>
    <w:rsid w:val="3FC5737B"/>
    <w:rsid w:val="41585427"/>
    <w:rsid w:val="42F665CA"/>
    <w:rsid w:val="434E283F"/>
    <w:rsid w:val="43E53B0E"/>
    <w:rsid w:val="43E82A10"/>
    <w:rsid w:val="44150A49"/>
    <w:rsid w:val="45C80785"/>
    <w:rsid w:val="491312CF"/>
    <w:rsid w:val="49857027"/>
    <w:rsid w:val="498A3B1A"/>
    <w:rsid w:val="4C231829"/>
    <w:rsid w:val="4C5038EB"/>
    <w:rsid w:val="4C6C1338"/>
    <w:rsid w:val="4CF86B64"/>
    <w:rsid w:val="4D601FD5"/>
    <w:rsid w:val="4D70487A"/>
    <w:rsid w:val="4E796794"/>
    <w:rsid w:val="502A76B2"/>
    <w:rsid w:val="506859F2"/>
    <w:rsid w:val="50822EAC"/>
    <w:rsid w:val="50B606DB"/>
    <w:rsid w:val="50F01B8E"/>
    <w:rsid w:val="5126701F"/>
    <w:rsid w:val="51E05745"/>
    <w:rsid w:val="52701F2C"/>
    <w:rsid w:val="532359BA"/>
    <w:rsid w:val="54406A28"/>
    <w:rsid w:val="553214A9"/>
    <w:rsid w:val="55494BFA"/>
    <w:rsid w:val="55D07147"/>
    <w:rsid w:val="563034C0"/>
    <w:rsid w:val="57A0371A"/>
    <w:rsid w:val="57AA30DF"/>
    <w:rsid w:val="58106B7E"/>
    <w:rsid w:val="586832A6"/>
    <w:rsid w:val="587D405A"/>
    <w:rsid w:val="5B2E1B8E"/>
    <w:rsid w:val="5D3E547C"/>
    <w:rsid w:val="5D86124F"/>
    <w:rsid w:val="5E9F62A0"/>
    <w:rsid w:val="5F2A3265"/>
    <w:rsid w:val="5FC13604"/>
    <w:rsid w:val="60264EEA"/>
    <w:rsid w:val="60597AA5"/>
    <w:rsid w:val="60C72BE6"/>
    <w:rsid w:val="60EC7520"/>
    <w:rsid w:val="61E24647"/>
    <w:rsid w:val="631F04A2"/>
    <w:rsid w:val="650D76CD"/>
    <w:rsid w:val="659B022A"/>
    <w:rsid w:val="66DE44A6"/>
    <w:rsid w:val="67E4336D"/>
    <w:rsid w:val="690412D8"/>
    <w:rsid w:val="690454F6"/>
    <w:rsid w:val="6A2353D4"/>
    <w:rsid w:val="6A8F2364"/>
    <w:rsid w:val="6B2C499F"/>
    <w:rsid w:val="6BCE02E7"/>
    <w:rsid w:val="6C7630E6"/>
    <w:rsid w:val="6CE75C8F"/>
    <w:rsid w:val="6DAE4AAB"/>
    <w:rsid w:val="6E0D76CF"/>
    <w:rsid w:val="6E21626E"/>
    <w:rsid w:val="6E2D7D3B"/>
    <w:rsid w:val="6E8C2034"/>
    <w:rsid w:val="6EA4777F"/>
    <w:rsid w:val="6EBD1AB8"/>
    <w:rsid w:val="6FA60CAF"/>
    <w:rsid w:val="6FFD4F62"/>
    <w:rsid w:val="701139EA"/>
    <w:rsid w:val="7097541F"/>
    <w:rsid w:val="72E8587A"/>
    <w:rsid w:val="73985535"/>
    <w:rsid w:val="73D53FAC"/>
    <w:rsid w:val="752D7B49"/>
    <w:rsid w:val="753D297C"/>
    <w:rsid w:val="757B1AEB"/>
    <w:rsid w:val="75C12BF5"/>
    <w:rsid w:val="793C1812"/>
    <w:rsid w:val="7B6E7E4D"/>
    <w:rsid w:val="7F4D0CBC"/>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1"/>
    <w:qFormat/>
    <w:uiPriority w:val="0"/>
    <w:pPr>
      <w:jc w:val="left"/>
    </w:pPr>
  </w:style>
  <w:style w:type="paragraph" w:styleId="3">
    <w:name w:val="Balloon Text"/>
    <w:basedOn w:val="1"/>
    <w:link w:val="40"/>
    <w:autoRedefine/>
    <w:qFormat/>
    <w:uiPriority w:val="0"/>
    <w:rPr>
      <w:sz w:val="18"/>
      <w:szCs w:val="18"/>
    </w:rPr>
  </w:style>
  <w:style w:type="paragraph" w:styleId="4">
    <w:name w:val="footer"/>
    <w:basedOn w:val="1"/>
    <w:qFormat/>
    <w:uiPriority w:val="0"/>
    <w:pPr>
      <w:snapToGrid w:val="0"/>
      <w:ind w:right="210" w:rightChars="100"/>
      <w:jc w:val="right"/>
    </w:pPr>
    <w:rPr>
      <w:sz w:val="18"/>
      <w:szCs w:val="18"/>
    </w:rPr>
  </w:style>
  <w:style w:type="paragraph" w:styleId="5">
    <w:name w:val="header"/>
    <w:basedOn w:val="1"/>
    <w:autoRedefine/>
    <w:qFormat/>
    <w:uiPriority w:val="0"/>
    <w:pPr>
      <w:snapToGrid w:val="0"/>
      <w:jc w:val="left"/>
    </w:pPr>
    <w:rPr>
      <w:sz w:val="18"/>
      <w:szCs w:val="18"/>
    </w:rPr>
  </w:style>
  <w:style w:type="paragraph" w:styleId="6">
    <w:name w:val="toc 1"/>
    <w:basedOn w:val="1"/>
    <w:next w:val="1"/>
    <w:qFormat/>
    <w:uiPriority w:val="0"/>
    <w:pPr>
      <w:tabs>
        <w:tab w:val="right" w:leader="dot" w:pos="9242"/>
      </w:tabs>
      <w:spacing w:before="79" w:beforeLines="25" w:after="79" w:afterLines="25"/>
      <w:jc w:val="left"/>
    </w:pPr>
    <w:rPr>
      <w:rFonts w:ascii="宋体"/>
      <w:szCs w:val="21"/>
    </w:rPr>
  </w:style>
  <w:style w:type="paragraph" w:styleId="7">
    <w:name w:val="toc 2"/>
    <w:basedOn w:val="1"/>
    <w:next w:val="1"/>
    <w:semiHidden/>
    <w:qFormat/>
    <w:uiPriority w:val="0"/>
    <w:pPr>
      <w:tabs>
        <w:tab w:val="right" w:leader="dot" w:pos="9242"/>
      </w:tabs>
    </w:pPr>
    <w:rPr>
      <w:rFonts w:ascii="宋体"/>
      <w:szCs w:val="21"/>
    </w:rPr>
  </w:style>
  <w:style w:type="paragraph" w:styleId="8">
    <w:name w:val="Normal (Web)"/>
    <w:basedOn w:val="1"/>
    <w:qFormat/>
    <w:uiPriority w:val="0"/>
    <w:pPr>
      <w:spacing w:before="100" w:beforeAutospacing="1" w:after="100" w:afterAutospacing="1"/>
      <w:jc w:val="left"/>
    </w:pPr>
    <w:rPr>
      <w:kern w:val="0"/>
      <w:sz w:val="24"/>
    </w:rPr>
  </w:style>
  <w:style w:type="paragraph" w:styleId="9">
    <w:name w:val="annotation subject"/>
    <w:basedOn w:val="2"/>
    <w:next w:val="2"/>
    <w:link w:val="42"/>
    <w:qFormat/>
    <w:uiPriority w:val="0"/>
    <w:rPr>
      <w:b/>
      <w:bCs/>
    </w:rPr>
  </w:style>
  <w:style w:type="character" w:styleId="12">
    <w:name w:val="annotation reference"/>
    <w:autoRedefine/>
    <w:qFormat/>
    <w:uiPriority w:val="0"/>
    <w:rPr>
      <w:sz w:val="21"/>
      <w:szCs w:val="21"/>
    </w:rPr>
  </w:style>
  <w:style w:type="paragraph" w:customStyle="1" w:styleId="13">
    <w:name w:val="其他标准标志"/>
    <w:basedOn w:val="14"/>
    <w:qFormat/>
    <w:uiPriority w:val="0"/>
    <w:pPr>
      <w:framePr w:w="6101" w:wrap="around" w:vAnchor="page" w:hAnchor="page" w:x="4673" w:y="942"/>
    </w:pPr>
    <w:rPr>
      <w:w w:val="130"/>
    </w:rPr>
  </w:style>
  <w:style w:type="paragraph" w:customStyle="1" w:styleId="14">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5">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6">
    <w:name w:val="封面标准号2"/>
    <w:autoRedefine/>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7">
    <w:name w:val="封面标准代替信息"/>
    <w:autoRedefine/>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8">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9">
    <w:name w:val="其他发布日期"/>
    <w:basedOn w:val="20"/>
    <w:autoRedefine/>
    <w:qFormat/>
    <w:uiPriority w:val="0"/>
    <w:pPr>
      <w:framePr w:wrap="around" w:vAnchor="page" w:hAnchor="text" w:x="1419"/>
    </w:pPr>
  </w:style>
  <w:style w:type="paragraph" w:customStyle="1" w:styleId="20">
    <w:name w:val="发布日期"/>
    <w:autoRedefine/>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21">
    <w:name w:val="其他实施日期"/>
    <w:basedOn w:val="22"/>
    <w:autoRedefine/>
    <w:qFormat/>
    <w:uiPriority w:val="0"/>
    <w:pPr>
      <w:framePr w:wrap="around" w:vAnchor="margin" w:hAnchor="page"/>
    </w:pPr>
  </w:style>
  <w:style w:type="paragraph" w:customStyle="1" w:styleId="22">
    <w:name w:val="实施日期"/>
    <w:basedOn w:val="20"/>
    <w:autoRedefine/>
    <w:qFormat/>
    <w:uiPriority w:val="0"/>
    <w:pPr>
      <w:framePr w:wrap="around" w:vAnchor="page" w:hAnchor="text"/>
      <w:jc w:val="right"/>
    </w:pPr>
  </w:style>
  <w:style w:type="paragraph" w:customStyle="1" w:styleId="23">
    <w:name w:val="其他发布部门"/>
    <w:basedOn w:val="24"/>
    <w:autoRedefine/>
    <w:qFormat/>
    <w:uiPriority w:val="0"/>
    <w:pPr>
      <w:framePr w:wrap="around" w:y="15310"/>
      <w:spacing w:line="0" w:lineRule="atLeast"/>
    </w:pPr>
    <w:rPr>
      <w:rFonts w:ascii="黑体" w:eastAsia="黑体"/>
      <w:b w:val="0"/>
    </w:rPr>
  </w:style>
  <w:style w:type="paragraph" w:customStyle="1" w:styleId="24">
    <w:name w:val="发布部门"/>
    <w:next w:val="25"/>
    <w:autoRedefine/>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25">
    <w:name w:val="段"/>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6">
    <w:name w:val="目次、标准名称标题"/>
    <w:basedOn w:val="1"/>
    <w:next w:val="25"/>
    <w:autoRedefine/>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7">
    <w:name w:val="章标题"/>
    <w:next w:val="25"/>
    <w:autoRedefine/>
    <w:qFormat/>
    <w:uiPriority w:val="0"/>
    <w:pPr>
      <w:numPr>
        <w:ilvl w:val="0"/>
        <w:numId w:val="1"/>
      </w:numPr>
      <w:spacing w:beforeLines="100" w:afterLines="100"/>
      <w:jc w:val="both"/>
      <w:outlineLvl w:val="1"/>
    </w:pPr>
    <w:rPr>
      <w:rFonts w:ascii="黑体" w:hAnsi="Times New Roman" w:eastAsia="黑体" w:cs="Times New Roman"/>
      <w:sz w:val="21"/>
      <w:lang w:val="en-US" w:eastAsia="zh-CN" w:bidi="ar-SA"/>
    </w:rPr>
  </w:style>
  <w:style w:type="paragraph" w:customStyle="1" w:styleId="28">
    <w:name w:val="一级条标题"/>
    <w:next w:val="25"/>
    <w:autoRedefine/>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paragraph" w:customStyle="1" w:styleId="29">
    <w:name w:val="二级条标题"/>
    <w:basedOn w:val="28"/>
    <w:next w:val="25"/>
    <w:autoRedefine/>
    <w:qFormat/>
    <w:uiPriority w:val="0"/>
    <w:pPr>
      <w:numPr>
        <w:ilvl w:val="0"/>
        <w:numId w:val="0"/>
      </w:numPr>
      <w:spacing w:before="50" w:after="50"/>
      <w:outlineLvl w:val="3"/>
    </w:pPr>
  </w:style>
  <w:style w:type="paragraph" w:customStyle="1" w:styleId="30">
    <w:name w:val="附录标识"/>
    <w:basedOn w:val="1"/>
    <w:next w:val="25"/>
    <w:autoRedefine/>
    <w:qFormat/>
    <w:uiPriority w:val="0"/>
    <w:pPr>
      <w:keepNext/>
      <w:widowControl/>
      <w:numPr>
        <w:ilvl w:val="0"/>
        <w:numId w:val="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31">
    <w:name w:val="附录图标号"/>
    <w:basedOn w:val="1"/>
    <w:autoRedefine/>
    <w:qFormat/>
    <w:uiPriority w:val="0"/>
    <w:pPr>
      <w:keepNext/>
      <w:pageBreakBefore/>
      <w:widowControl/>
      <w:numPr>
        <w:ilvl w:val="0"/>
        <w:numId w:val="3"/>
      </w:numPr>
      <w:spacing w:line="14" w:lineRule="exact"/>
      <w:ind w:left="0" w:firstLine="363"/>
      <w:jc w:val="center"/>
      <w:outlineLvl w:val="0"/>
    </w:pPr>
    <w:rPr>
      <w:color w:val="FFFFFF"/>
    </w:rPr>
  </w:style>
  <w:style w:type="paragraph" w:customStyle="1" w:styleId="32">
    <w:name w:val="附录表标号"/>
    <w:basedOn w:val="1"/>
    <w:next w:val="25"/>
    <w:autoRedefine/>
    <w:qFormat/>
    <w:uiPriority w:val="0"/>
    <w:pPr>
      <w:numPr>
        <w:ilvl w:val="0"/>
        <w:numId w:val="4"/>
      </w:numPr>
      <w:spacing w:line="14" w:lineRule="exact"/>
      <w:ind w:left="811" w:hanging="448"/>
      <w:jc w:val="center"/>
      <w:outlineLvl w:val="0"/>
    </w:pPr>
    <w:rPr>
      <w:color w:val="FFFFFF"/>
    </w:rPr>
  </w:style>
  <w:style w:type="paragraph" w:customStyle="1" w:styleId="33">
    <w:name w:val="标准书脚_奇数页"/>
    <w:autoRedefine/>
    <w:qFormat/>
    <w:uiPriority w:val="0"/>
    <w:pPr>
      <w:spacing w:before="120"/>
      <w:ind w:right="198"/>
      <w:jc w:val="right"/>
    </w:pPr>
    <w:rPr>
      <w:rFonts w:ascii="宋体" w:hAnsi="Times New Roman" w:eastAsia="宋体" w:cs="Times New Roman"/>
      <w:sz w:val="18"/>
      <w:szCs w:val="18"/>
      <w:lang w:val="en-US" w:eastAsia="zh-CN" w:bidi="ar-SA"/>
    </w:rPr>
  </w:style>
  <w:style w:type="character" w:customStyle="1" w:styleId="34">
    <w:name w:val="font11"/>
    <w:basedOn w:val="11"/>
    <w:qFormat/>
    <w:uiPriority w:val="0"/>
    <w:rPr>
      <w:rFonts w:hint="eastAsia" w:ascii="宋体" w:hAnsi="宋体" w:eastAsia="宋体"/>
      <w:color w:val="000000"/>
      <w:sz w:val="28"/>
      <w:szCs w:val="28"/>
      <w:u w:val="none"/>
    </w:rPr>
  </w:style>
  <w:style w:type="character" w:customStyle="1" w:styleId="35">
    <w:name w:val="font41"/>
    <w:basedOn w:val="11"/>
    <w:autoRedefine/>
    <w:qFormat/>
    <w:uiPriority w:val="0"/>
    <w:rPr>
      <w:rFonts w:hint="eastAsia" w:ascii="宋体" w:hAnsi="宋体" w:eastAsia="宋体"/>
      <w:i/>
      <w:iCs/>
      <w:color w:val="000000"/>
      <w:sz w:val="18"/>
      <w:szCs w:val="18"/>
      <w:u w:val="none"/>
    </w:rPr>
  </w:style>
  <w:style w:type="character" w:customStyle="1" w:styleId="36">
    <w:name w:val="font61"/>
    <w:basedOn w:val="11"/>
    <w:qFormat/>
    <w:uiPriority w:val="0"/>
    <w:rPr>
      <w:rFonts w:hint="eastAsia" w:ascii="宋体" w:hAnsi="宋体" w:eastAsia="宋体"/>
      <w:color w:val="000000"/>
      <w:sz w:val="18"/>
      <w:szCs w:val="18"/>
      <w:u w:val="none"/>
    </w:rPr>
  </w:style>
  <w:style w:type="character" w:customStyle="1" w:styleId="37">
    <w:name w:val="font31"/>
    <w:basedOn w:val="11"/>
    <w:autoRedefine/>
    <w:qFormat/>
    <w:uiPriority w:val="0"/>
    <w:rPr>
      <w:rFonts w:hint="eastAsia" w:ascii="宋体" w:hAnsi="宋体" w:eastAsia="宋体"/>
      <w:i/>
      <w:iCs/>
      <w:color w:val="000000"/>
      <w:sz w:val="20"/>
      <w:szCs w:val="20"/>
      <w:u w:val="none"/>
    </w:rPr>
  </w:style>
  <w:style w:type="character" w:customStyle="1" w:styleId="38">
    <w:name w:val="font21"/>
    <w:basedOn w:val="11"/>
    <w:qFormat/>
    <w:uiPriority w:val="0"/>
    <w:rPr>
      <w:rFonts w:hint="eastAsia" w:ascii="宋体" w:hAnsi="宋体" w:eastAsia="宋体"/>
      <w:color w:val="000000"/>
      <w:sz w:val="20"/>
      <w:szCs w:val="20"/>
      <w:u w:val="none"/>
    </w:rPr>
  </w:style>
  <w:style w:type="paragraph" w:styleId="39">
    <w:name w:val="List Paragraph"/>
    <w:basedOn w:val="1"/>
    <w:unhideWhenUsed/>
    <w:qFormat/>
    <w:uiPriority w:val="99"/>
    <w:pPr>
      <w:ind w:firstLine="420" w:firstLineChars="200"/>
    </w:pPr>
  </w:style>
  <w:style w:type="character" w:customStyle="1" w:styleId="40">
    <w:name w:val="批注框文本 Char"/>
    <w:basedOn w:val="11"/>
    <w:link w:val="3"/>
    <w:autoRedefine/>
    <w:qFormat/>
    <w:uiPriority w:val="0"/>
    <w:rPr>
      <w:kern w:val="2"/>
      <w:sz w:val="18"/>
      <w:szCs w:val="18"/>
    </w:rPr>
  </w:style>
  <w:style w:type="character" w:customStyle="1" w:styleId="41">
    <w:name w:val="批注文字 Char"/>
    <w:basedOn w:val="11"/>
    <w:link w:val="2"/>
    <w:qFormat/>
    <w:uiPriority w:val="0"/>
    <w:rPr>
      <w:kern w:val="2"/>
      <w:sz w:val="21"/>
      <w:szCs w:val="24"/>
    </w:rPr>
  </w:style>
  <w:style w:type="character" w:customStyle="1" w:styleId="42">
    <w:name w:val="批注主题 Char"/>
    <w:basedOn w:val="41"/>
    <w:link w:val="9"/>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351D2A-E6B2-4AB9-BBD5-45E3C3F84DB2}">
  <ds:schemaRefs/>
</ds:datastoreItem>
</file>

<file path=docProps/app.xml><?xml version="1.0" encoding="utf-8"?>
<Properties xmlns="http://schemas.openxmlformats.org/officeDocument/2006/extended-properties" xmlns:vt="http://schemas.openxmlformats.org/officeDocument/2006/docPropsVTypes">
  <Template>Normal.dotm</Template>
  <Company>zzdt</Company>
  <Pages>9</Pages>
  <Words>598</Words>
  <Characters>3414</Characters>
  <Lines>28</Lines>
  <Paragraphs>8</Paragraphs>
  <TotalTime>8</TotalTime>
  <ScaleCrop>false</ScaleCrop>
  <LinksUpToDate>false</LinksUpToDate>
  <CharactersWithSpaces>4004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2021-03-17T03:02:00Z</dcterms:created>
  <dc:creator>123</dc:creator>
  <cp:lastModifiedBy>王红义</cp:lastModifiedBy>
  <dcterms:modified xsi:type="dcterms:W3CDTF">2024-03-12T06:45:21Z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D9E3C61EC82045C29CDFFF7BFCA975C2_13</vt:lpwstr>
  </property>
</Properties>
</file>