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66896">
      <w:pPr>
        <w:tabs>
          <w:tab w:val="left" w:pos="7560"/>
        </w:tabs>
        <w:spacing w:line="560" w:lineRule="exact"/>
        <w:jc w:val="left"/>
        <w:rPr>
          <w:rFonts w:hint="eastAsia" w:ascii="黑体" w:hAnsi="黑体" w:eastAsia="黑体" w:cs="黑体"/>
          <w:sz w:val="32"/>
          <w:szCs w:val="32"/>
        </w:rPr>
      </w:pPr>
      <w:r>
        <w:rPr>
          <w:rFonts w:hint="eastAsia" w:ascii="黑体" w:hAnsi="黑体" w:eastAsia="黑体" w:cs="黑体"/>
          <w:sz w:val="32"/>
          <w:szCs w:val="32"/>
        </w:rPr>
        <w:t>附件</w:t>
      </w:r>
      <w:r>
        <w:rPr>
          <w:rFonts w:hint="eastAsia" w:ascii="Times New Roman" w:hAnsi="Times New Roman" w:eastAsia="黑体" w:cs="Times New Roman"/>
          <w:sz w:val="32"/>
          <w:szCs w:val="32"/>
          <w:lang w:val="en-US" w:eastAsia="zh-CN"/>
        </w:rPr>
        <w:t>5</w:t>
      </w:r>
    </w:p>
    <w:p w14:paraId="79AA2C77">
      <w:pPr>
        <w:tabs>
          <w:tab w:val="left" w:pos="7560"/>
        </w:tabs>
        <w:spacing w:line="560" w:lineRule="exact"/>
        <w:jc w:val="center"/>
        <w:rPr>
          <w:rFonts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物资管理</w:t>
      </w:r>
      <w:r>
        <w:rPr>
          <w:rFonts w:hint="eastAsia" w:ascii="Times New Roman" w:hAnsi="Times New Roman" w:eastAsia="方正小标宋简体" w:cs="Times New Roman"/>
          <w:sz w:val="44"/>
          <w:szCs w:val="44"/>
          <w:lang w:val="en-US" w:eastAsia="zh-CN"/>
        </w:rPr>
        <w:t>中心</w:t>
      </w:r>
      <w:r>
        <w:rPr>
          <w:rFonts w:hint="eastAsia" w:ascii="Times New Roman" w:hAnsi="Times New Roman" w:eastAsia="方正小标宋简体" w:cs="Times New Roman"/>
          <w:sz w:val="44"/>
          <w:szCs w:val="44"/>
        </w:rPr>
        <w:t>防汛预警响应要求</w:t>
      </w:r>
    </w:p>
    <w:tbl>
      <w:tblPr>
        <w:tblStyle w:val="4"/>
        <w:tblW w:w="129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2"/>
        <w:gridCol w:w="2083"/>
        <w:gridCol w:w="2505"/>
        <w:gridCol w:w="7121"/>
      </w:tblGrid>
      <w:tr w14:paraId="0BBA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262" w:type="dxa"/>
            <w:vMerge w:val="restart"/>
            <w:vAlign w:val="center"/>
          </w:tcPr>
          <w:p w14:paraId="1AB3F6F4">
            <w:pPr>
              <w:tabs>
                <w:tab w:val="left" w:pos="1010"/>
              </w:tabs>
              <w:spacing w:line="560" w:lineRule="exact"/>
              <w:jc w:val="center"/>
              <w:rPr>
                <w:rFonts w:ascii="Times New Roman" w:hAnsi="Times New Roman" w:eastAsia="仿宋_GB2312"/>
                <w:b/>
                <w:bCs/>
                <w:sz w:val="28"/>
                <w:szCs w:val="32"/>
              </w:rPr>
            </w:pPr>
            <w:r>
              <w:rPr>
                <w:rFonts w:hint="eastAsia" w:ascii="Times New Roman" w:hAnsi="Times New Roman" w:eastAsia="仿宋_GB2312"/>
                <w:b/>
                <w:bCs/>
                <w:sz w:val="28"/>
                <w:szCs w:val="32"/>
              </w:rPr>
              <w:t>防汛预警响应级别</w:t>
            </w:r>
          </w:p>
        </w:tc>
        <w:tc>
          <w:tcPr>
            <w:tcW w:w="11709" w:type="dxa"/>
            <w:gridSpan w:val="3"/>
            <w:vAlign w:val="center"/>
          </w:tcPr>
          <w:p w14:paraId="3CDECBF7">
            <w:pPr>
              <w:tabs>
                <w:tab w:val="left" w:pos="1010"/>
              </w:tabs>
              <w:spacing w:line="560" w:lineRule="exact"/>
              <w:jc w:val="center"/>
              <w:rPr>
                <w:rFonts w:ascii="Times New Roman" w:hAnsi="Times New Roman" w:eastAsia="仿宋_GB2312"/>
                <w:b/>
                <w:bCs/>
                <w:sz w:val="28"/>
                <w:szCs w:val="32"/>
              </w:rPr>
            </w:pPr>
            <w:r>
              <w:rPr>
                <w:rFonts w:hint="eastAsia" w:ascii="Times New Roman" w:hAnsi="Times New Roman" w:eastAsia="仿宋_GB2312"/>
                <w:b/>
                <w:bCs/>
                <w:sz w:val="28"/>
                <w:szCs w:val="32"/>
              </w:rPr>
              <w:t>应对措施</w:t>
            </w:r>
          </w:p>
        </w:tc>
      </w:tr>
      <w:tr w14:paraId="0D39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262" w:type="dxa"/>
            <w:vMerge w:val="continue"/>
            <w:vAlign w:val="center"/>
          </w:tcPr>
          <w:p w14:paraId="4AB82BE0">
            <w:pPr>
              <w:tabs>
                <w:tab w:val="left" w:pos="1010"/>
              </w:tabs>
              <w:spacing w:line="560" w:lineRule="exact"/>
              <w:jc w:val="center"/>
              <w:rPr>
                <w:rFonts w:ascii="Times New Roman" w:hAnsi="Times New Roman" w:eastAsia="仿宋_GB2312"/>
                <w:b/>
                <w:bCs/>
                <w:sz w:val="28"/>
                <w:szCs w:val="32"/>
              </w:rPr>
            </w:pPr>
          </w:p>
        </w:tc>
        <w:tc>
          <w:tcPr>
            <w:tcW w:w="2083" w:type="dxa"/>
            <w:vAlign w:val="center"/>
          </w:tcPr>
          <w:p w14:paraId="499CA231">
            <w:pPr>
              <w:tabs>
                <w:tab w:val="left" w:pos="1010"/>
              </w:tabs>
              <w:spacing w:line="560" w:lineRule="exact"/>
              <w:jc w:val="center"/>
              <w:rPr>
                <w:rFonts w:hint="eastAsia" w:ascii="Times New Roman" w:hAnsi="Times New Roman" w:eastAsia="仿宋_GB2312"/>
                <w:b/>
                <w:bCs/>
                <w:sz w:val="28"/>
                <w:szCs w:val="32"/>
                <w:lang w:eastAsia="zh-CN"/>
              </w:rPr>
            </w:pPr>
            <w:r>
              <w:rPr>
                <w:rFonts w:hint="eastAsia" w:ascii="Times New Roman" w:hAnsi="Times New Roman" w:eastAsia="仿宋_GB2312"/>
                <w:b/>
                <w:bCs/>
                <w:sz w:val="28"/>
                <w:szCs w:val="32"/>
                <w:lang w:eastAsia="zh-CN"/>
              </w:rPr>
              <w:t>管理岗</w:t>
            </w:r>
          </w:p>
        </w:tc>
        <w:tc>
          <w:tcPr>
            <w:tcW w:w="2505" w:type="dxa"/>
            <w:vAlign w:val="center"/>
          </w:tcPr>
          <w:p w14:paraId="49E0E5BE">
            <w:pPr>
              <w:tabs>
                <w:tab w:val="left" w:pos="1010"/>
              </w:tabs>
              <w:spacing w:line="560" w:lineRule="exact"/>
              <w:jc w:val="center"/>
              <w:rPr>
                <w:rFonts w:ascii="Times New Roman" w:hAnsi="Times New Roman" w:eastAsia="仿宋_GB2312"/>
                <w:b/>
                <w:bCs/>
                <w:sz w:val="28"/>
                <w:szCs w:val="32"/>
              </w:rPr>
            </w:pPr>
            <w:r>
              <w:rPr>
                <w:rFonts w:hint="eastAsia" w:ascii="Times New Roman" w:hAnsi="Times New Roman" w:eastAsia="仿宋_GB2312"/>
                <w:b/>
                <w:bCs/>
                <w:sz w:val="28"/>
                <w:szCs w:val="32"/>
              </w:rPr>
              <w:t>工班长</w:t>
            </w:r>
          </w:p>
        </w:tc>
        <w:tc>
          <w:tcPr>
            <w:tcW w:w="7121" w:type="dxa"/>
            <w:vAlign w:val="center"/>
          </w:tcPr>
          <w:p w14:paraId="47EC54FC">
            <w:pPr>
              <w:tabs>
                <w:tab w:val="left" w:pos="1010"/>
              </w:tabs>
              <w:spacing w:line="560" w:lineRule="exact"/>
              <w:jc w:val="center"/>
              <w:rPr>
                <w:rFonts w:ascii="Times New Roman" w:hAnsi="Times New Roman" w:eastAsia="仿宋_GB2312"/>
                <w:b/>
                <w:bCs/>
                <w:sz w:val="28"/>
                <w:szCs w:val="32"/>
              </w:rPr>
            </w:pPr>
            <w:r>
              <w:rPr>
                <w:rFonts w:hint="eastAsia" w:ascii="Times New Roman" w:hAnsi="Times New Roman" w:eastAsia="仿宋_GB2312"/>
                <w:b/>
                <w:bCs/>
                <w:sz w:val="28"/>
                <w:szCs w:val="32"/>
                <w:lang w:eastAsia="zh-CN"/>
              </w:rPr>
              <w:t>工班</w:t>
            </w:r>
            <w:r>
              <w:rPr>
                <w:rFonts w:hint="eastAsia" w:ascii="Times New Roman" w:hAnsi="Times New Roman" w:eastAsia="仿宋_GB2312"/>
                <w:b/>
                <w:bCs/>
                <w:sz w:val="28"/>
                <w:szCs w:val="32"/>
              </w:rPr>
              <w:t>现场值班人员</w:t>
            </w:r>
          </w:p>
        </w:tc>
      </w:tr>
      <w:tr w14:paraId="212F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09C78F21">
            <w:pPr>
              <w:tabs>
                <w:tab w:val="left" w:pos="1010"/>
              </w:tabs>
              <w:jc w:val="center"/>
              <w:rPr>
                <w:sz w:val="22"/>
              </w:rPr>
            </w:pPr>
            <w:r>
              <w:rPr>
                <w:rFonts w:hint="eastAsia"/>
                <w:sz w:val="22"/>
              </w:rPr>
              <w:t>蓝色预警</w:t>
            </w:r>
          </w:p>
        </w:tc>
        <w:tc>
          <w:tcPr>
            <w:tcW w:w="2083" w:type="dxa"/>
            <w:vMerge w:val="restart"/>
            <w:vAlign w:val="center"/>
          </w:tcPr>
          <w:p w14:paraId="6658A713">
            <w:pPr>
              <w:tabs>
                <w:tab w:val="left" w:pos="1010"/>
              </w:tabs>
              <w:jc w:val="left"/>
              <w:rPr>
                <w:sz w:val="22"/>
              </w:rPr>
            </w:pPr>
            <w:r>
              <w:rPr>
                <w:rFonts w:hint="eastAsia"/>
                <w:sz w:val="22"/>
              </w:rPr>
              <w:t>1.24小时电话</w:t>
            </w:r>
          </w:p>
          <w:p w14:paraId="799F48F5">
            <w:pPr>
              <w:tabs>
                <w:tab w:val="left" w:pos="1010"/>
              </w:tabs>
              <w:jc w:val="left"/>
              <w:rPr>
                <w:sz w:val="22"/>
              </w:rPr>
            </w:pPr>
            <w:r>
              <w:rPr>
                <w:rFonts w:hint="eastAsia"/>
                <w:sz w:val="22"/>
              </w:rPr>
              <w:t>值班；</w:t>
            </w:r>
          </w:p>
          <w:p w14:paraId="3176CEC9">
            <w:pPr>
              <w:tabs>
                <w:tab w:val="left" w:pos="1010"/>
              </w:tabs>
              <w:jc w:val="left"/>
              <w:rPr>
                <w:sz w:val="22"/>
              </w:rPr>
            </w:pPr>
            <w:r>
              <w:rPr>
                <w:rFonts w:hint="eastAsia"/>
                <w:sz w:val="22"/>
              </w:rPr>
              <w:t>2.非必要不离郑， 离郑需明确顶岗人员。</w:t>
            </w:r>
          </w:p>
        </w:tc>
        <w:tc>
          <w:tcPr>
            <w:tcW w:w="2505" w:type="dxa"/>
            <w:vAlign w:val="center"/>
          </w:tcPr>
          <w:p w14:paraId="7319C441">
            <w:pPr>
              <w:tabs>
                <w:tab w:val="left" w:pos="1010"/>
              </w:tabs>
              <w:jc w:val="left"/>
              <w:rPr>
                <w:sz w:val="22"/>
              </w:rPr>
            </w:pPr>
            <w:r>
              <w:rPr>
                <w:rFonts w:hint="eastAsia"/>
                <w:sz w:val="22"/>
              </w:rPr>
              <w:t>1.24小时电话值班；</w:t>
            </w:r>
          </w:p>
          <w:p w14:paraId="261D2F38">
            <w:pPr>
              <w:tabs>
                <w:tab w:val="left" w:pos="1010"/>
              </w:tabs>
              <w:jc w:val="left"/>
              <w:rPr>
                <w:sz w:val="22"/>
              </w:rPr>
            </w:pPr>
            <w:r>
              <w:rPr>
                <w:rFonts w:hint="eastAsia"/>
                <w:sz w:val="22"/>
              </w:rPr>
              <w:t>2.非必要不离郑，离郑</w:t>
            </w:r>
          </w:p>
          <w:p w14:paraId="385B5787">
            <w:pPr>
              <w:tabs>
                <w:tab w:val="left" w:pos="1010"/>
              </w:tabs>
              <w:jc w:val="left"/>
              <w:rPr>
                <w:sz w:val="22"/>
              </w:rPr>
            </w:pPr>
            <w:r>
              <w:rPr>
                <w:rFonts w:hint="eastAsia"/>
                <w:sz w:val="22"/>
              </w:rPr>
              <w:t>需明确顶岗人员。</w:t>
            </w:r>
          </w:p>
        </w:tc>
        <w:tc>
          <w:tcPr>
            <w:tcW w:w="7121" w:type="dxa"/>
            <w:vAlign w:val="center"/>
          </w:tcPr>
          <w:p w14:paraId="57EA832E">
            <w:pPr>
              <w:tabs>
                <w:tab w:val="left" w:pos="1010"/>
              </w:tabs>
              <w:jc w:val="left"/>
              <w:rPr>
                <w:sz w:val="22"/>
              </w:rPr>
            </w:pPr>
            <w:r>
              <w:rPr>
                <w:rFonts w:hint="eastAsia"/>
                <w:sz w:val="22"/>
              </w:rPr>
              <w:t>1.</w:t>
            </w:r>
            <w:r>
              <w:rPr>
                <w:rFonts w:hint="eastAsia"/>
                <w:sz w:val="22"/>
                <w:lang w:eastAsia="zh-CN"/>
              </w:rPr>
              <w:t>工班</w:t>
            </w:r>
            <w:r>
              <w:rPr>
                <w:rFonts w:hint="eastAsia"/>
                <w:sz w:val="22"/>
              </w:rPr>
              <w:t>值班人员每2小时对库区重点区域巡查1次，发现渗漏水及时告知相关专业处理，并做好漏雨下方物资遮挡；</w:t>
            </w:r>
          </w:p>
          <w:p w14:paraId="7F3D551D">
            <w:pPr>
              <w:tabs>
                <w:tab w:val="left" w:pos="1010"/>
              </w:tabs>
              <w:jc w:val="left"/>
              <w:rPr>
                <w:sz w:val="22"/>
              </w:rPr>
            </w:pPr>
            <w:r>
              <w:rPr>
                <w:rFonts w:hint="eastAsia"/>
                <w:sz w:val="22"/>
                <w:lang w:val="en-US" w:eastAsia="zh-CN"/>
              </w:rPr>
              <w:t>2</w:t>
            </w:r>
            <w:r>
              <w:rPr>
                <w:rFonts w:hint="eastAsia"/>
                <w:sz w:val="22"/>
              </w:rPr>
              <w:t>.做好抢险准备，对防汛沙袋、彩条布位置及数量进行核查，做好使用准备；</w:t>
            </w:r>
          </w:p>
          <w:p w14:paraId="2CA45434">
            <w:pPr>
              <w:tabs>
                <w:tab w:val="left" w:pos="1010"/>
              </w:tabs>
              <w:jc w:val="left"/>
              <w:rPr>
                <w:sz w:val="22"/>
              </w:rPr>
            </w:pPr>
            <w:r>
              <w:rPr>
                <w:rFonts w:hint="eastAsia"/>
                <w:sz w:val="22"/>
                <w:lang w:val="en-US" w:eastAsia="zh-CN"/>
              </w:rPr>
              <w:t>3</w:t>
            </w:r>
            <w:r>
              <w:rPr>
                <w:rFonts w:hint="eastAsia"/>
                <w:sz w:val="22"/>
              </w:rPr>
              <w:t>.针对漏水点下方的电气设备及时采取断电措施。</w:t>
            </w:r>
          </w:p>
        </w:tc>
      </w:tr>
      <w:tr w14:paraId="15B8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trPr>
        <w:tc>
          <w:tcPr>
            <w:tcW w:w="1262" w:type="dxa"/>
            <w:vAlign w:val="center"/>
          </w:tcPr>
          <w:p w14:paraId="22155093">
            <w:pPr>
              <w:tabs>
                <w:tab w:val="left" w:pos="1010"/>
              </w:tabs>
              <w:jc w:val="center"/>
              <w:rPr>
                <w:sz w:val="22"/>
              </w:rPr>
            </w:pPr>
            <w:r>
              <w:rPr>
                <w:rFonts w:hint="eastAsia"/>
                <w:sz w:val="22"/>
              </w:rPr>
              <w:t>黄色预警</w:t>
            </w:r>
          </w:p>
        </w:tc>
        <w:tc>
          <w:tcPr>
            <w:tcW w:w="2083" w:type="dxa"/>
            <w:vMerge w:val="continue"/>
            <w:vAlign w:val="center"/>
          </w:tcPr>
          <w:p w14:paraId="405E8229">
            <w:pPr>
              <w:tabs>
                <w:tab w:val="left" w:pos="1010"/>
              </w:tabs>
              <w:jc w:val="left"/>
              <w:rPr>
                <w:sz w:val="22"/>
              </w:rPr>
            </w:pPr>
          </w:p>
        </w:tc>
        <w:tc>
          <w:tcPr>
            <w:tcW w:w="2505" w:type="dxa"/>
            <w:vAlign w:val="center"/>
          </w:tcPr>
          <w:p w14:paraId="4D32C288">
            <w:pPr>
              <w:tabs>
                <w:tab w:val="left" w:pos="1010"/>
              </w:tabs>
              <w:jc w:val="left"/>
              <w:rPr>
                <w:sz w:val="22"/>
              </w:rPr>
            </w:pPr>
            <w:r>
              <w:rPr>
                <w:rFonts w:hint="eastAsia"/>
                <w:sz w:val="22"/>
              </w:rPr>
              <w:t>责任区域现场值班</w:t>
            </w:r>
          </w:p>
          <w:p w14:paraId="708A4A01">
            <w:pPr>
              <w:tabs>
                <w:tab w:val="left" w:pos="1010"/>
              </w:tabs>
              <w:jc w:val="left"/>
              <w:rPr>
                <w:sz w:val="22"/>
              </w:rPr>
            </w:pPr>
          </w:p>
        </w:tc>
        <w:tc>
          <w:tcPr>
            <w:tcW w:w="7121" w:type="dxa"/>
            <w:vAlign w:val="center"/>
          </w:tcPr>
          <w:p w14:paraId="4ADBC2ED">
            <w:pPr>
              <w:tabs>
                <w:tab w:val="left" w:pos="1010"/>
              </w:tabs>
              <w:jc w:val="left"/>
              <w:rPr>
                <w:sz w:val="22"/>
              </w:rPr>
            </w:pPr>
            <w:r>
              <w:rPr>
                <w:rFonts w:hint="eastAsia"/>
                <w:sz w:val="22"/>
              </w:rPr>
              <w:t>执行蓝色预警的要求的同时</w:t>
            </w:r>
          </w:p>
          <w:p w14:paraId="136D8E28">
            <w:pPr>
              <w:tabs>
                <w:tab w:val="left" w:pos="1010"/>
              </w:tabs>
              <w:jc w:val="left"/>
              <w:rPr>
                <w:sz w:val="22"/>
              </w:rPr>
            </w:pPr>
            <w:r>
              <w:rPr>
                <w:rFonts w:hint="eastAsia"/>
                <w:sz w:val="22"/>
              </w:rPr>
              <w:t>1.在库区各门口按照防汛沙袋摆放标准摆放沙袋，加装防淹挡板仓库安装防淹挡板</w:t>
            </w:r>
            <w:r>
              <w:rPr>
                <w:rFonts w:hint="eastAsia"/>
                <w:sz w:val="22"/>
                <w:lang w:val="en-US" w:eastAsia="zh-CN"/>
              </w:rPr>
              <w:t>安装到位</w:t>
            </w:r>
            <w:r>
              <w:rPr>
                <w:rFonts w:hint="eastAsia"/>
                <w:sz w:val="22"/>
              </w:rPr>
              <w:t>；</w:t>
            </w:r>
          </w:p>
          <w:p w14:paraId="5E1BE976">
            <w:pPr>
              <w:tabs>
                <w:tab w:val="left" w:pos="1010"/>
              </w:tabs>
              <w:jc w:val="left"/>
              <w:rPr>
                <w:sz w:val="22"/>
              </w:rPr>
            </w:pPr>
            <w:r>
              <w:rPr>
                <w:rFonts w:hint="eastAsia"/>
                <w:sz w:val="22"/>
              </w:rPr>
              <w:t>2.针对漏水点下方的电气设备及时采取断电措施。</w:t>
            </w:r>
          </w:p>
        </w:tc>
      </w:tr>
      <w:tr w14:paraId="3A10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1" w:hRule="atLeast"/>
        </w:trPr>
        <w:tc>
          <w:tcPr>
            <w:tcW w:w="1262" w:type="dxa"/>
            <w:vAlign w:val="center"/>
          </w:tcPr>
          <w:p w14:paraId="75C95336">
            <w:pPr>
              <w:tabs>
                <w:tab w:val="left" w:pos="1010"/>
              </w:tabs>
              <w:jc w:val="center"/>
              <w:rPr>
                <w:sz w:val="22"/>
              </w:rPr>
            </w:pPr>
            <w:r>
              <w:rPr>
                <w:rFonts w:hint="eastAsia"/>
                <w:sz w:val="22"/>
              </w:rPr>
              <w:t>橙色预警</w:t>
            </w:r>
          </w:p>
        </w:tc>
        <w:tc>
          <w:tcPr>
            <w:tcW w:w="2083" w:type="dxa"/>
            <w:vMerge w:val="restart"/>
            <w:vAlign w:val="center"/>
          </w:tcPr>
          <w:p w14:paraId="553070B2">
            <w:pPr>
              <w:tabs>
                <w:tab w:val="left" w:pos="1010"/>
              </w:tabs>
              <w:jc w:val="center"/>
              <w:rPr>
                <w:sz w:val="22"/>
              </w:rPr>
            </w:pPr>
          </w:p>
          <w:p w14:paraId="3D051F23">
            <w:pPr>
              <w:tabs>
                <w:tab w:val="left" w:pos="1010"/>
              </w:tabs>
              <w:jc w:val="center"/>
              <w:rPr>
                <w:sz w:val="22"/>
              </w:rPr>
            </w:pPr>
            <w:r>
              <w:rPr>
                <w:rFonts w:hint="eastAsia"/>
                <w:sz w:val="22"/>
              </w:rPr>
              <w:t>责任区域现场值班</w:t>
            </w:r>
          </w:p>
          <w:p w14:paraId="4F430935">
            <w:pPr>
              <w:tabs>
                <w:tab w:val="left" w:pos="1010"/>
              </w:tabs>
              <w:jc w:val="center"/>
              <w:rPr>
                <w:sz w:val="22"/>
              </w:rPr>
            </w:pPr>
          </w:p>
        </w:tc>
        <w:tc>
          <w:tcPr>
            <w:tcW w:w="2505" w:type="dxa"/>
            <w:vMerge w:val="restart"/>
            <w:vAlign w:val="center"/>
          </w:tcPr>
          <w:p w14:paraId="7B44C3E6">
            <w:pPr>
              <w:tabs>
                <w:tab w:val="left" w:pos="1010"/>
              </w:tabs>
              <w:jc w:val="center"/>
              <w:rPr>
                <w:sz w:val="22"/>
              </w:rPr>
            </w:pPr>
            <w:r>
              <w:rPr>
                <w:rFonts w:hint="eastAsia"/>
                <w:sz w:val="22"/>
              </w:rPr>
              <w:t>责任区域现场值班</w:t>
            </w:r>
          </w:p>
        </w:tc>
        <w:tc>
          <w:tcPr>
            <w:tcW w:w="7121" w:type="dxa"/>
            <w:vAlign w:val="center"/>
          </w:tcPr>
          <w:p w14:paraId="49EDF8EB">
            <w:pPr>
              <w:tabs>
                <w:tab w:val="left" w:pos="1010"/>
              </w:tabs>
              <w:jc w:val="left"/>
              <w:rPr>
                <w:sz w:val="22"/>
              </w:rPr>
            </w:pPr>
            <w:r>
              <w:rPr>
                <w:rFonts w:hint="eastAsia"/>
                <w:sz w:val="22"/>
              </w:rPr>
              <w:t>1.</w:t>
            </w:r>
            <w:r>
              <w:rPr>
                <w:rFonts w:hint="eastAsia"/>
                <w:sz w:val="22"/>
                <w:lang w:eastAsia="zh-CN"/>
              </w:rPr>
              <w:t>工班</w:t>
            </w:r>
            <w:r>
              <w:rPr>
                <w:rFonts w:hint="eastAsia"/>
                <w:sz w:val="22"/>
              </w:rPr>
              <w:t>值班人员每 1 小时对库区重点区域巡查 1 次， 发现渗漏水及时告知相关专业处理， 并做好漏雨下方物资遮挡；</w:t>
            </w:r>
          </w:p>
          <w:p w14:paraId="3310921D">
            <w:pPr>
              <w:tabs>
                <w:tab w:val="left" w:pos="1010"/>
              </w:tabs>
              <w:jc w:val="left"/>
              <w:rPr>
                <w:rFonts w:hint="eastAsia" w:eastAsiaTheme="minorEastAsia"/>
                <w:sz w:val="22"/>
                <w:lang w:eastAsia="zh-CN"/>
              </w:rPr>
            </w:pPr>
            <w:r>
              <w:rPr>
                <w:rFonts w:hint="eastAsia"/>
                <w:sz w:val="22"/>
              </w:rPr>
              <w:t>2.库区各门口按照防汛沙袋摆放标准摆放沙袋， 加装防淹挡板仓库安装防淹挡板</w:t>
            </w:r>
            <w:r>
              <w:rPr>
                <w:rFonts w:hint="eastAsia"/>
                <w:sz w:val="22"/>
                <w:lang w:val="en-US" w:eastAsia="zh-CN"/>
              </w:rPr>
              <w:t>安装</w:t>
            </w:r>
            <w:r>
              <w:rPr>
                <w:rFonts w:hint="eastAsia"/>
                <w:sz w:val="22"/>
              </w:rPr>
              <w:t>到位</w:t>
            </w:r>
            <w:r>
              <w:rPr>
                <w:rFonts w:hint="eastAsia"/>
                <w:sz w:val="22"/>
                <w:lang w:eastAsia="zh-CN"/>
              </w:rPr>
              <w:t>；</w:t>
            </w:r>
          </w:p>
          <w:p w14:paraId="68DED178">
            <w:pPr>
              <w:tabs>
                <w:tab w:val="left" w:pos="1010"/>
              </w:tabs>
              <w:jc w:val="left"/>
              <w:rPr>
                <w:sz w:val="22"/>
              </w:rPr>
            </w:pPr>
            <w:r>
              <w:rPr>
                <w:rFonts w:hint="eastAsia"/>
                <w:sz w:val="22"/>
              </w:rPr>
              <w:t>3.巡视人员发现险情立即上报；</w:t>
            </w:r>
          </w:p>
          <w:p w14:paraId="5E2AE1A2">
            <w:pPr>
              <w:tabs>
                <w:tab w:val="left" w:pos="1010"/>
              </w:tabs>
              <w:jc w:val="left"/>
              <w:rPr>
                <w:sz w:val="22"/>
              </w:rPr>
            </w:pPr>
            <w:r>
              <w:rPr>
                <w:rFonts w:hint="eastAsia"/>
                <w:sz w:val="22"/>
              </w:rPr>
              <w:t>4.针对漏水点下方的电气设备及时采取断电措施。</w:t>
            </w:r>
          </w:p>
        </w:tc>
      </w:tr>
      <w:tr w14:paraId="3D83C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72393E6D">
            <w:pPr>
              <w:tabs>
                <w:tab w:val="left" w:pos="1010"/>
              </w:tabs>
              <w:jc w:val="center"/>
              <w:rPr>
                <w:sz w:val="22"/>
              </w:rPr>
            </w:pPr>
            <w:r>
              <w:rPr>
                <w:rFonts w:hint="eastAsia"/>
                <w:sz w:val="22"/>
              </w:rPr>
              <w:t>红色预警</w:t>
            </w:r>
          </w:p>
        </w:tc>
        <w:tc>
          <w:tcPr>
            <w:tcW w:w="2083" w:type="dxa"/>
            <w:vMerge w:val="continue"/>
            <w:vAlign w:val="center"/>
          </w:tcPr>
          <w:p w14:paraId="7B42A12A">
            <w:pPr>
              <w:tabs>
                <w:tab w:val="left" w:pos="1010"/>
              </w:tabs>
              <w:jc w:val="center"/>
              <w:rPr>
                <w:sz w:val="22"/>
              </w:rPr>
            </w:pPr>
          </w:p>
        </w:tc>
        <w:tc>
          <w:tcPr>
            <w:tcW w:w="2505" w:type="dxa"/>
            <w:vMerge w:val="continue"/>
            <w:vAlign w:val="center"/>
          </w:tcPr>
          <w:p w14:paraId="43806956">
            <w:pPr>
              <w:tabs>
                <w:tab w:val="left" w:pos="1010"/>
              </w:tabs>
              <w:jc w:val="center"/>
              <w:rPr>
                <w:sz w:val="22"/>
              </w:rPr>
            </w:pPr>
          </w:p>
        </w:tc>
        <w:tc>
          <w:tcPr>
            <w:tcW w:w="7121" w:type="dxa"/>
            <w:vAlign w:val="center"/>
          </w:tcPr>
          <w:p w14:paraId="0893718D">
            <w:pPr>
              <w:tabs>
                <w:tab w:val="left" w:pos="1010"/>
              </w:tabs>
              <w:jc w:val="left"/>
              <w:rPr>
                <w:sz w:val="22"/>
              </w:rPr>
            </w:pPr>
            <w:r>
              <w:rPr>
                <w:rFonts w:hint="eastAsia"/>
                <w:sz w:val="22"/>
              </w:rPr>
              <w:t>1.</w:t>
            </w:r>
            <w:r>
              <w:rPr>
                <w:rFonts w:hint="eastAsia"/>
                <w:sz w:val="22"/>
                <w:lang w:eastAsia="zh-CN"/>
              </w:rPr>
              <w:t>工班</w:t>
            </w:r>
            <w:r>
              <w:rPr>
                <w:rFonts w:hint="eastAsia"/>
                <w:sz w:val="22"/>
              </w:rPr>
              <w:t>值班人员每 1 小时对库区重点区域巡查 1 次， 发现渗漏水及时告知相关专业处理， 并做好漏雨下方物资遮挡；</w:t>
            </w:r>
          </w:p>
          <w:p w14:paraId="28DD7817">
            <w:pPr>
              <w:tabs>
                <w:tab w:val="left" w:pos="1010"/>
              </w:tabs>
              <w:jc w:val="left"/>
              <w:rPr>
                <w:sz w:val="22"/>
              </w:rPr>
            </w:pPr>
            <w:r>
              <w:rPr>
                <w:rFonts w:hint="eastAsia"/>
                <w:sz w:val="22"/>
              </w:rPr>
              <w:t>2.库区各门口按照防汛沙袋摆放标准摆放沙袋， 加装防淹挡板仓库安装防淹挡板</w:t>
            </w:r>
            <w:r>
              <w:rPr>
                <w:rFonts w:hint="eastAsia"/>
                <w:sz w:val="22"/>
                <w:lang w:val="en-US" w:eastAsia="zh-CN"/>
              </w:rPr>
              <w:t>安装</w:t>
            </w:r>
            <w:r>
              <w:rPr>
                <w:rFonts w:hint="eastAsia"/>
                <w:sz w:val="22"/>
              </w:rPr>
              <w:t>到位；</w:t>
            </w:r>
          </w:p>
          <w:p w14:paraId="5488CB3F">
            <w:pPr>
              <w:tabs>
                <w:tab w:val="left" w:pos="1010"/>
              </w:tabs>
              <w:jc w:val="left"/>
              <w:rPr>
                <w:sz w:val="22"/>
              </w:rPr>
            </w:pPr>
            <w:r>
              <w:rPr>
                <w:rFonts w:hint="eastAsia"/>
                <w:sz w:val="22"/>
              </w:rPr>
              <w:t>3.转移受险情威胁的贵重及重要备品备件、 贵重电子办公用品等物品至安全区域；</w:t>
            </w:r>
          </w:p>
          <w:p w14:paraId="3A4C7195">
            <w:pPr>
              <w:tabs>
                <w:tab w:val="left" w:pos="1010"/>
              </w:tabs>
              <w:jc w:val="left"/>
              <w:rPr>
                <w:sz w:val="22"/>
              </w:rPr>
            </w:pPr>
            <w:r>
              <w:rPr>
                <w:rFonts w:hint="eastAsia"/>
                <w:sz w:val="22"/>
              </w:rPr>
              <w:t>4.针对漏水点下方的电气设备及时采取断电措施；</w:t>
            </w:r>
          </w:p>
          <w:p w14:paraId="5D76E009">
            <w:pPr>
              <w:tabs>
                <w:tab w:val="left" w:pos="1010"/>
              </w:tabs>
              <w:jc w:val="left"/>
              <w:rPr>
                <w:sz w:val="22"/>
              </w:rPr>
            </w:pPr>
            <w:r>
              <w:rPr>
                <w:rFonts w:hint="eastAsia"/>
                <w:sz w:val="22"/>
              </w:rPr>
              <w:t>5.巡视人员发现险情立即上报。</w:t>
            </w:r>
          </w:p>
        </w:tc>
      </w:tr>
      <w:tr w14:paraId="53C0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2971" w:type="dxa"/>
            <w:gridSpan w:val="4"/>
          </w:tcPr>
          <w:p w14:paraId="302F68EE">
            <w:pPr>
              <w:numPr>
                <w:ilvl w:val="-1"/>
                <w:numId w:val="0"/>
              </w:numPr>
              <w:tabs>
                <w:tab w:val="left" w:pos="1010"/>
              </w:tabs>
              <w:jc w:val="left"/>
              <w:rPr>
                <w:rFonts w:hint="eastAsia"/>
                <w:sz w:val="22"/>
                <w:lang w:val="en-US" w:eastAsia="zh-CN"/>
              </w:rPr>
            </w:pPr>
            <w:r>
              <w:rPr>
                <w:rFonts w:hint="eastAsia"/>
                <w:sz w:val="22"/>
              </w:rPr>
              <w:t>注：</w:t>
            </w:r>
            <w:r>
              <w:rPr>
                <w:rFonts w:hint="eastAsia"/>
                <w:sz w:val="22"/>
                <w:lang w:val="en-US" w:eastAsia="zh-CN"/>
              </w:rPr>
              <w:t>1.当发布暴雨橙色及以上预警时，中心正（副）职需赶往中心任一所辖区域值班（值班次序为李彦奎、张新宇、马姗姗），由中心安全岗按顺序通知。</w:t>
            </w:r>
          </w:p>
          <w:p w14:paraId="3F4FA4EE">
            <w:pPr>
              <w:numPr>
                <w:ilvl w:val="-1"/>
                <w:numId w:val="0"/>
              </w:numPr>
              <w:tabs>
                <w:tab w:val="left" w:pos="1010"/>
              </w:tabs>
              <w:jc w:val="left"/>
              <w:rPr>
                <w:rFonts w:hint="default"/>
                <w:sz w:val="22"/>
                <w:lang w:val="en-US" w:eastAsia="zh-CN"/>
              </w:rPr>
            </w:pPr>
            <w:r>
              <w:rPr>
                <w:rFonts w:hint="eastAsia"/>
                <w:sz w:val="22"/>
                <w:lang w:val="en-US" w:eastAsia="zh-CN"/>
              </w:rPr>
              <w:t>2.橙色及以上预警时，科室负责人（室主任/室副主任）赶往责任区域内任一所包保区域现场值班，线路包保负责人（管理岗）到责任区域现场值班。</w:t>
            </w:r>
            <w:bookmarkStart w:id="0" w:name="_GoBack"/>
            <w:bookmarkEnd w:id="0"/>
          </w:p>
          <w:p w14:paraId="03E9509C">
            <w:pPr>
              <w:numPr>
                <w:ilvl w:val="-1"/>
                <w:numId w:val="0"/>
              </w:numPr>
              <w:tabs>
                <w:tab w:val="left" w:pos="1010"/>
              </w:tabs>
              <w:jc w:val="left"/>
              <w:rPr>
                <w:rFonts w:hint="eastAsia"/>
                <w:sz w:val="22"/>
                <w:lang w:eastAsia="zh-CN"/>
              </w:rPr>
            </w:pPr>
            <w:r>
              <w:rPr>
                <w:rFonts w:hint="eastAsia"/>
                <w:sz w:val="22"/>
                <w:lang w:val="en-US" w:eastAsia="zh-CN"/>
              </w:rPr>
              <w:t>3.</w:t>
            </w:r>
            <w:r>
              <w:rPr>
                <w:rFonts w:hint="eastAsia"/>
                <w:sz w:val="22"/>
                <w:lang w:eastAsia="zh-CN"/>
              </w:rPr>
              <w:t>工班值班人员</w:t>
            </w:r>
            <w:r>
              <w:rPr>
                <w:rFonts w:hint="eastAsia"/>
                <w:sz w:val="22"/>
              </w:rPr>
              <w:t>对库区重点区域巡查</w:t>
            </w:r>
            <w:r>
              <w:rPr>
                <w:rFonts w:hint="eastAsia"/>
                <w:sz w:val="22"/>
                <w:lang w:eastAsia="zh-CN"/>
              </w:rPr>
              <w:t>完成后用水印相机拍照并发至部门防汛工作群内。</w:t>
            </w:r>
          </w:p>
          <w:p w14:paraId="5E10A85A">
            <w:pPr>
              <w:numPr>
                <w:ilvl w:val="-1"/>
                <w:numId w:val="0"/>
              </w:numPr>
              <w:tabs>
                <w:tab w:val="left" w:pos="1010"/>
              </w:tabs>
              <w:jc w:val="left"/>
              <w:rPr>
                <w:rFonts w:hint="eastAsia"/>
                <w:sz w:val="22"/>
                <w:lang w:val="en-US" w:eastAsia="zh-CN"/>
              </w:rPr>
            </w:pPr>
            <w:r>
              <w:rPr>
                <w:rFonts w:hint="eastAsia"/>
                <w:sz w:val="22"/>
                <w:lang w:val="en-US" w:eastAsia="zh-CN"/>
              </w:rPr>
              <w:t>4.郑州市气象台发布预警信号涉及主城区（金水区、中原区、二七区、管城区、惠济区、高新区、郑东新区、经开区）任一区域时，运营公司各防汛点位均执行相应等级暴雨预警信号应对措施。</w:t>
            </w:r>
          </w:p>
          <w:p w14:paraId="0D36B228">
            <w:pPr>
              <w:numPr>
                <w:ilvl w:val="-1"/>
                <w:numId w:val="0"/>
              </w:numPr>
              <w:tabs>
                <w:tab w:val="left" w:pos="1010"/>
              </w:tabs>
              <w:jc w:val="left"/>
              <w:rPr>
                <w:rFonts w:hint="default"/>
                <w:sz w:val="22"/>
                <w:lang w:val="en-US" w:eastAsia="zh-CN"/>
              </w:rPr>
            </w:pPr>
            <w:r>
              <w:rPr>
                <w:rFonts w:hint="eastAsia"/>
                <w:sz w:val="22"/>
                <w:lang w:val="en-US" w:eastAsia="zh-CN"/>
              </w:rPr>
              <w:t>5.新郑气象局发布预警信号涉及运营区域时，预警信号所含区域内防汛点位均执行相应等级暴雨预警信号应对措施，其他防汛点位做好防范。</w:t>
            </w:r>
          </w:p>
        </w:tc>
      </w:tr>
    </w:tbl>
    <w:p w14:paraId="31E06099"/>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kZmY0YTZlYTEyNmQ3ZGVkYzJhNDY4YTEzOTM4MTAifQ=="/>
  </w:docVars>
  <w:rsids>
    <w:rsidRoot w:val="00000000"/>
    <w:rsid w:val="08123F24"/>
    <w:rsid w:val="09320D22"/>
    <w:rsid w:val="14E17AB1"/>
    <w:rsid w:val="1A2B6E03"/>
    <w:rsid w:val="1E234015"/>
    <w:rsid w:val="20B11293"/>
    <w:rsid w:val="2E0341A6"/>
    <w:rsid w:val="31C465B5"/>
    <w:rsid w:val="3C0D0BC9"/>
    <w:rsid w:val="4D0716E5"/>
    <w:rsid w:val="4DC60F04"/>
    <w:rsid w:val="5334431C"/>
    <w:rsid w:val="54472240"/>
    <w:rsid w:val="61C34E29"/>
    <w:rsid w:val="787E3253"/>
    <w:rsid w:val="7C5C02BC"/>
    <w:rsid w:val="7D341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pacing w:after="120"/>
    </w:pPr>
  </w:style>
  <w:style w:type="table" w:styleId="4">
    <w:name w:val="Table Grid"/>
    <w:basedOn w:val="3"/>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1000</Words>
  <Characters>1032</Characters>
  <Lines>0</Lines>
  <Paragraphs>0</Paragraphs>
  <TotalTime>2</TotalTime>
  <ScaleCrop>false</ScaleCrop>
  <LinksUpToDate>false</LinksUpToDate>
  <CharactersWithSpaces>1050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2025-04-28T02:05:00Z</dcterms:created>
  <dc:creator>Administrator</dc:creator>
  <cp:lastModifiedBy>刘欢01</cp:lastModifiedBy>
  <dcterms:modified xsi:type="dcterms:W3CDTF">2026-05-15T02:46:53Z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eyJoZGlkIjoiN2U4YTc0YWNiOTg4YzE2NDZiM2Q2ZjYyMmQyY2JhNGIiLCJ1c2VySWQiOiIyNjkwODk2NDAifQ==</vt:lpwstr>
  </property>
  <property fmtid="{D5CDD505-2E9C-101B-9397-08002B2CF9AE}" pid="4" name="ICV">
    <vt:lpwstr>79A691C64F5945E4B09013791D8A6A0B_12</vt:lpwstr>
  </property>
</Properties>
</file>