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02C4D">
      <w:pPr>
        <w:numPr>
          <w:ilvl w:val="0"/>
          <w:numId w:val="0"/>
        </w:numPr>
        <w:spacing w:before="0" w:line="560" w:lineRule="exact"/>
        <w:ind w:left="0"/>
        <w:rPr>
          <w:rFonts w:ascii="Times New Roman" w:hAnsi="Times New Roman" w:eastAsia="黑体" w:cs="Times New Roman"/>
          <w:spacing w:val="-6"/>
          <w:sz w:val="21"/>
          <w:szCs w:val="21"/>
          <w:highlight w:val="none"/>
        </w:rPr>
      </w:pPr>
      <w:bookmarkStart w:id="0" w:name="_GoBack"/>
      <w:r>
        <w:rPr>
          <w:rFonts w:hint="default" w:ascii="Times New Roman" w:hAnsi="Times New Roman" w:eastAsia="黑体" w:cs="Times New Roman"/>
          <w:color w:val="000000"/>
          <w:spacing w:val="0"/>
          <w:sz w:val="32"/>
          <w:szCs w:val="32"/>
          <w:highlight w:val="none"/>
          <w:lang w:val="en-US" w:eastAsia="zh-CN"/>
        </w:rPr>
        <w:t>附件</w:t>
      </w:r>
      <w:r>
        <w:rPr>
          <w:rFonts w:hint="eastAsia" w:ascii="Times New Roman" w:hAnsi="Times New Roman" w:eastAsia="黑体" w:cs="Times New Roman"/>
          <w:color w:val="000000"/>
          <w:spacing w:val="0"/>
          <w:sz w:val="32"/>
          <w:szCs w:val="32"/>
          <w:highlight w:val="none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color w:val="000000"/>
          <w:spacing w:val="0"/>
          <w:sz w:val="32"/>
          <w:szCs w:val="32"/>
          <w:highlight w:val="none"/>
          <w:lang w:val="en-US" w:eastAsia="zh-CN"/>
        </w:rPr>
        <w:t xml:space="preserve"> :危险废物标签</w:t>
      </w:r>
    </w:p>
    <w:bookmarkEnd w:id="0"/>
    <w:p w14:paraId="529CE721">
      <w:pPr>
        <w:spacing w:before="83"/>
        <w:rPr>
          <w:rFonts w:ascii="Times New Roman" w:hAnsi="Times New Roman" w:cs="Times New Roman"/>
          <w:highlight w:val="none"/>
        </w:rPr>
      </w:pPr>
    </w:p>
    <w:tbl>
      <w:tblPr>
        <w:tblStyle w:val="7"/>
        <w:tblW w:w="0" w:type="auto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535"/>
      </w:tblGrid>
      <w:tr w14:paraId="48E0FD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4535" w:type="dxa"/>
            <w:noWrap w:val="0"/>
            <w:vAlign w:val="top"/>
          </w:tcPr>
          <w:p w14:paraId="3326C514">
            <w:pPr>
              <w:pStyle w:val="6"/>
              <w:spacing w:before="183" w:line="226" w:lineRule="auto"/>
              <w:ind w:left="1440"/>
              <w:rPr>
                <w:rFonts w:ascii="Times New Roman" w:hAnsi="Times New Roman" w:cs="Times New Roman"/>
                <w:sz w:val="27"/>
                <w:szCs w:val="27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pacing w:val="5"/>
                <w:sz w:val="27"/>
                <w:szCs w:val="27"/>
                <w:highlight w:val="none"/>
              </w:rPr>
              <w:t>危险废物标签</w:t>
            </w:r>
          </w:p>
        </w:tc>
        <w:tc>
          <w:tcPr>
            <w:tcW w:w="4535" w:type="dxa"/>
            <w:noWrap w:val="0"/>
            <w:vAlign w:val="top"/>
          </w:tcPr>
          <w:p w14:paraId="4444AF0F">
            <w:pPr>
              <w:pStyle w:val="6"/>
              <w:spacing w:before="183" w:line="225" w:lineRule="auto"/>
              <w:ind w:left="1995"/>
              <w:rPr>
                <w:rFonts w:ascii="Times New Roman" w:hAnsi="Times New Roman" w:cs="Times New Roman"/>
                <w:sz w:val="27"/>
                <w:szCs w:val="27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highlight w:val="none"/>
              </w:rPr>
              <w:t>说明</w:t>
            </w:r>
          </w:p>
        </w:tc>
      </w:tr>
      <w:tr w14:paraId="7BB2EF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7" w:hRule="atLeast"/>
        </w:trPr>
        <w:tc>
          <w:tcPr>
            <w:tcW w:w="4535" w:type="dxa"/>
            <w:noWrap w:val="0"/>
            <w:vAlign w:val="top"/>
          </w:tcPr>
          <w:p w14:paraId="57017776">
            <w:pPr>
              <w:spacing w:before="150" w:line="3461" w:lineRule="exact"/>
              <w:ind w:firstLine="539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position w:val="-69"/>
                <w:highlight w:val="none"/>
              </w:rPr>
              <w:drawing>
                <wp:inline distT="0" distB="0" distL="114300" distR="114300">
                  <wp:extent cx="2188845" cy="2197735"/>
                  <wp:effectExtent l="0" t="0" r="1905" b="12065"/>
                  <wp:docPr id="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845" cy="219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noWrap w:val="0"/>
            <w:vAlign w:val="top"/>
          </w:tcPr>
          <w:p w14:paraId="0CF14F6C">
            <w:pPr>
              <w:pStyle w:val="6"/>
              <w:spacing w:before="52" w:line="269" w:lineRule="auto"/>
              <w:ind w:left="111" w:right="30" w:hanging="1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spacing w:val="5"/>
                <w:highlight w:val="none"/>
              </w:rPr>
              <w:t>颜色：危险废物标签背景色应采用醒目的橘黄</w:t>
            </w:r>
            <w:r>
              <w:rPr>
                <w:rFonts w:ascii="Times New Roman" w:hAnsi="Times New Roman" w:cs="Times New Roman"/>
                <w:spacing w:val="6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highlight w:val="none"/>
              </w:rPr>
              <w:t>色，RGB 颜色值为（255, 150,</w:t>
            </w:r>
            <w:r>
              <w:rPr>
                <w:rFonts w:ascii="Times New Roman" w:hAnsi="Times New Roman" w:cs="Times New Roman"/>
                <w:spacing w:val="24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highlight w:val="none"/>
              </w:rPr>
              <w:t>0）。标签边框</w:t>
            </w:r>
            <w:r>
              <w:rPr>
                <w:rFonts w:ascii="Times New Roman" w:hAnsi="Times New Roman" w:cs="Times New Roman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highlight w:val="none"/>
              </w:rPr>
              <w:t>和字体颜色为黑色，RGB 颜色值为（0,</w:t>
            </w:r>
            <w:r>
              <w:rPr>
                <w:rFonts w:ascii="Times New Roman" w:hAnsi="Times New Roman" w:cs="Times New Roman"/>
                <w:spacing w:val="-42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highlight w:val="none"/>
              </w:rPr>
              <w:t>0,</w:t>
            </w:r>
            <w:r>
              <w:rPr>
                <w:rFonts w:ascii="Times New Roman" w:hAnsi="Times New Roman" w:cs="Times New Roman"/>
                <w:spacing w:val="-38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highlight w:val="none"/>
              </w:rPr>
              <w:t>0）。</w:t>
            </w:r>
          </w:p>
          <w:p w14:paraId="49D1A8A3">
            <w:pPr>
              <w:pStyle w:val="6"/>
              <w:spacing w:before="29" w:line="265" w:lineRule="auto"/>
              <w:ind w:left="122" w:right="106" w:hanging="10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spacing w:val="-14"/>
                <w:highlight w:val="none"/>
              </w:rPr>
              <w:t>字体：危险废物标签字体宜采用黑体字，其</w:t>
            </w:r>
            <w:r>
              <w:rPr>
                <w:rFonts w:ascii="Times New Roman" w:hAnsi="Times New Roman" w:cs="Times New Roman"/>
                <w:spacing w:val="-15"/>
                <w:highlight w:val="none"/>
              </w:rPr>
              <w:t>中“危</w:t>
            </w:r>
            <w:r>
              <w:rPr>
                <w:rFonts w:ascii="Times New Roman" w:hAnsi="Times New Roman" w:cs="Times New Roman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highlight w:val="none"/>
              </w:rPr>
              <w:t>险废物”字样应加粗放大。</w:t>
            </w:r>
          </w:p>
          <w:p w14:paraId="5357E5BB">
            <w:pPr>
              <w:pStyle w:val="6"/>
              <w:spacing w:before="24" w:line="266" w:lineRule="auto"/>
              <w:ind w:left="128" w:right="106" w:hanging="18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spacing w:val="-5"/>
                <w:highlight w:val="none"/>
              </w:rPr>
              <w:t>尺寸：危险废物标签的尺寸宜根据容器或包装物</w:t>
            </w:r>
            <w:r>
              <w:rPr>
                <w:rFonts w:ascii="Times New Roman" w:hAnsi="Times New Roman" w:cs="Times New Roman"/>
                <w:spacing w:val="6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highlight w:val="none"/>
              </w:rPr>
              <w:t>的容积按照表</w:t>
            </w:r>
            <w:r>
              <w:rPr>
                <w:rFonts w:ascii="Times New Roman" w:hAnsi="Times New Roman" w:cs="Times New Roman"/>
                <w:spacing w:val="35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highlight w:val="none"/>
              </w:rPr>
              <w:t>1</w:t>
            </w:r>
            <w:r>
              <w:rPr>
                <w:rFonts w:ascii="Times New Roman" w:hAnsi="Times New Roman" w:cs="Times New Roman"/>
                <w:spacing w:val="29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pacing w:val="-6"/>
                <w:highlight w:val="none"/>
              </w:rPr>
              <w:t>中的要求设置。</w:t>
            </w:r>
          </w:p>
        </w:tc>
      </w:tr>
    </w:tbl>
    <w:p w14:paraId="011652C9">
      <w:pPr>
        <w:pStyle w:val="2"/>
        <w:spacing w:line="295" w:lineRule="auto"/>
        <w:rPr>
          <w:rFonts w:ascii="Times New Roman" w:hAnsi="Times New Roman" w:cs="Times New Roman"/>
          <w:highlight w:val="none"/>
        </w:rPr>
      </w:pPr>
    </w:p>
    <w:p w14:paraId="66A66360">
      <w:pPr>
        <w:spacing w:before="68" w:line="220" w:lineRule="auto"/>
        <w:ind w:left="3392"/>
        <w:rPr>
          <w:rFonts w:ascii="Times New Roman" w:hAnsi="Times New Roman" w:eastAsia="宋体" w:cs="Times New Roman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spacing w:val="-1"/>
          <w:sz w:val="21"/>
          <w:szCs w:val="21"/>
          <w:highlight w:val="none"/>
        </w:rPr>
        <w:t>表1 危险废物标签的尺寸要求</w:t>
      </w:r>
    </w:p>
    <w:p w14:paraId="4290EDCB">
      <w:pPr>
        <w:spacing w:line="145" w:lineRule="auto"/>
        <w:rPr>
          <w:rFonts w:ascii="Times New Roman" w:hAnsi="Times New Roman" w:cs="Times New Roman"/>
          <w:sz w:val="2"/>
          <w:highlight w:val="none"/>
        </w:rPr>
      </w:pPr>
    </w:p>
    <w:tbl>
      <w:tblPr>
        <w:tblStyle w:val="7"/>
        <w:tblW w:w="0" w:type="auto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"/>
        <w:gridCol w:w="2740"/>
        <w:gridCol w:w="3043"/>
        <w:gridCol w:w="2270"/>
      </w:tblGrid>
      <w:tr w14:paraId="0F324C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017" w:type="dxa"/>
            <w:noWrap w:val="0"/>
            <w:vAlign w:val="top"/>
          </w:tcPr>
          <w:p w14:paraId="137F81CF">
            <w:pPr>
              <w:pStyle w:val="6"/>
              <w:spacing w:before="58" w:line="222" w:lineRule="auto"/>
              <w:ind w:left="117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spacing w:val="-2"/>
                <w:highlight w:val="none"/>
              </w:rPr>
              <w:t>序号</w:t>
            </w:r>
          </w:p>
        </w:tc>
        <w:tc>
          <w:tcPr>
            <w:tcW w:w="2740" w:type="dxa"/>
            <w:noWrap w:val="0"/>
            <w:vAlign w:val="top"/>
          </w:tcPr>
          <w:p w14:paraId="4AEE51B5">
            <w:pPr>
              <w:pStyle w:val="6"/>
              <w:spacing w:before="58" w:line="220" w:lineRule="auto"/>
              <w:ind w:left="112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highlight w:val="none"/>
              </w:rPr>
              <w:t>容器或包装物溶剂（</w:t>
            </w:r>
            <w:r>
              <w:rPr>
                <w:rFonts w:ascii="Times New Roman" w:hAnsi="Times New Roman" w:eastAsia="Arial" w:cs="Times New Roman"/>
                <w:spacing w:val="-1"/>
                <w:highlight w:val="none"/>
              </w:rPr>
              <w:t>L</w:t>
            </w:r>
            <w:r>
              <w:rPr>
                <w:rFonts w:ascii="Times New Roman" w:hAnsi="Times New Roman" w:cs="Times New Roman"/>
                <w:spacing w:val="-1"/>
                <w:highlight w:val="none"/>
              </w:rPr>
              <w:t>）</w:t>
            </w:r>
          </w:p>
        </w:tc>
        <w:tc>
          <w:tcPr>
            <w:tcW w:w="3043" w:type="dxa"/>
            <w:noWrap w:val="0"/>
            <w:vAlign w:val="top"/>
          </w:tcPr>
          <w:p w14:paraId="04EDB308">
            <w:pPr>
              <w:pStyle w:val="6"/>
              <w:spacing w:before="57" w:line="226" w:lineRule="auto"/>
              <w:ind w:left="112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highlight w:val="none"/>
              </w:rPr>
              <w:t>标签最小尺寸（</w:t>
            </w:r>
            <w:r>
              <w:rPr>
                <w:rFonts w:ascii="Times New Roman" w:hAnsi="Times New Roman" w:eastAsia="Arial" w:cs="Times New Roman"/>
                <w:spacing w:val="-1"/>
                <w:highlight w:val="none"/>
              </w:rPr>
              <w:t>mm×mm</w:t>
            </w:r>
            <w:r>
              <w:rPr>
                <w:rFonts w:ascii="Times New Roman" w:hAnsi="Times New Roman" w:cs="Times New Roman"/>
                <w:spacing w:val="-1"/>
                <w:highlight w:val="none"/>
              </w:rPr>
              <w:t>）</w:t>
            </w:r>
          </w:p>
        </w:tc>
        <w:tc>
          <w:tcPr>
            <w:tcW w:w="2270" w:type="dxa"/>
            <w:noWrap w:val="0"/>
            <w:vAlign w:val="top"/>
          </w:tcPr>
          <w:p w14:paraId="0979DD95">
            <w:pPr>
              <w:pStyle w:val="6"/>
              <w:spacing w:before="57" w:line="226" w:lineRule="auto"/>
              <w:ind w:left="115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  <w:spacing w:val="-1"/>
                <w:highlight w:val="none"/>
              </w:rPr>
              <w:t>最低文字高度（</w:t>
            </w:r>
            <w:r>
              <w:rPr>
                <w:rFonts w:ascii="Times New Roman" w:hAnsi="Times New Roman" w:eastAsia="Arial" w:cs="Times New Roman"/>
                <w:spacing w:val="-1"/>
                <w:highlight w:val="none"/>
              </w:rPr>
              <w:t>mm</w:t>
            </w:r>
            <w:r>
              <w:rPr>
                <w:rFonts w:ascii="Times New Roman" w:hAnsi="Times New Roman" w:cs="Times New Roman"/>
                <w:spacing w:val="-1"/>
                <w:highlight w:val="none"/>
              </w:rPr>
              <w:t>）</w:t>
            </w:r>
          </w:p>
        </w:tc>
      </w:tr>
      <w:tr w14:paraId="0150B8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17" w:type="dxa"/>
            <w:noWrap w:val="0"/>
            <w:vAlign w:val="top"/>
          </w:tcPr>
          <w:p w14:paraId="1BAC0AD4">
            <w:pPr>
              <w:spacing w:before="79" w:line="195" w:lineRule="auto"/>
              <w:ind w:left="469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2740" w:type="dxa"/>
            <w:noWrap w:val="0"/>
            <w:vAlign w:val="top"/>
          </w:tcPr>
          <w:p w14:paraId="09043A07">
            <w:pPr>
              <w:spacing w:before="77" w:line="226" w:lineRule="auto"/>
              <w:ind w:left="1194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pacing w:val="-3"/>
                <w:sz w:val="21"/>
                <w:szCs w:val="21"/>
                <w:highlight w:val="none"/>
              </w:rPr>
              <w:t>≤50</w:t>
            </w:r>
          </w:p>
        </w:tc>
        <w:tc>
          <w:tcPr>
            <w:tcW w:w="3043" w:type="dxa"/>
            <w:noWrap w:val="0"/>
            <w:vAlign w:val="top"/>
          </w:tcPr>
          <w:p w14:paraId="2CFA0EC9">
            <w:pPr>
              <w:spacing w:before="77" w:line="226" w:lineRule="auto"/>
              <w:ind w:left="1125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pacing w:val="-4"/>
                <w:sz w:val="21"/>
                <w:szCs w:val="21"/>
                <w:highlight w:val="none"/>
              </w:rPr>
              <w:t>100×100</w:t>
            </w:r>
          </w:p>
        </w:tc>
        <w:tc>
          <w:tcPr>
            <w:tcW w:w="2270" w:type="dxa"/>
            <w:noWrap w:val="0"/>
            <w:vAlign w:val="top"/>
          </w:tcPr>
          <w:p w14:paraId="4E10BC46">
            <w:pPr>
              <w:spacing w:before="79" w:line="195" w:lineRule="auto"/>
              <w:ind w:left="1079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  <w:t>3</w:t>
            </w:r>
          </w:p>
        </w:tc>
      </w:tr>
      <w:tr w14:paraId="6E4032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017" w:type="dxa"/>
            <w:noWrap w:val="0"/>
            <w:vAlign w:val="top"/>
          </w:tcPr>
          <w:p w14:paraId="270F5537">
            <w:pPr>
              <w:spacing w:before="86" w:line="195" w:lineRule="auto"/>
              <w:ind w:left="452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  <w:t>2</w:t>
            </w:r>
          </w:p>
        </w:tc>
        <w:tc>
          <w:tcPr>
            <w:tcW w:w="2740" w:type="dxa"/>
            <w:noWrap w:val="0"/>
            <w:vAlign w:val="top"/>
          </w:tcPr>
          <w:p w14:paraId="3800E2F1">
            <w:pPr>
              <w:spacing w:before="83" w:line="225" w:lineRule="auto"/>
              <w:ind w:left="900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pacing w:val="-2"/>
                <w:sz w:val="21"/>
                <w:szCs w:val="21"/>
                <w:highlight w:val="none"/>
              </w:rPr>
              <w:t>&gt;50~≤450</w:t>
            </w:r>
          </w:p>
        </w:tc>
        <w:tc>
          <w:tcPr>
            <w:tcW w:w="3043" w:type="dxa"/>
            <w:noWrap w:val="0"/>
            <w:vAlign w:val="top"/>
          </w:tcPr>
          <w:p w14:paraId="5CAF9E50">
            <w:pPr>
              <w:spacing w:before="83" w:line="225" w:lineRule="auto"/>
              <w:ind w:left="1125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pacing w:val="-4"/>
                <w:sz w:val="21"/>
                <w:szCs w:val="21"/>
                <w:highlight w:val="none"/>
              </w:rPr>
              <w:t>150×150</w:t>
            </w:r>
          </w:p>
        </w:tc>
        <w:tc>
          <w:tcPr>
            <w:tcW w:w="2270" w:type="dxa"/>
            <w:noWrap w:val="0"/>
            <w:vAlign w:val="top"/>
          </w:tcPr>
          <w:p w14:paraId="5F41EBD3">
            <w:pPr>
              <w:spacing w:before="88" w:line="192" w:lineRule="auto"/>
              <w:ind w:left="1079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  <w:t>5</w:t>
            </w:r>
          </w:p>
        </w:tc>
      </w:tr>
      <w:tr w14:paraId="5EFE71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017" w:type="dxa"/>
            <w:noWrap w:val="0"/>
            <w:vAlign w:val="top"/>
          </w:tcPr>
          <w:p w14:paraId="747A2017">
            <w:pPr>
              <w:spacing w:before="82" w:line="195" w:lineRule="auto"/>
              <w:ind w:left="455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  <w:t>3</w:t>
            </w:r>
          </w:p>
        </w:tc>
        <w:tc>
          <w:tcPr>
            <w:tcW w:w="2740" w:type="dxa"/>
            <w:noWrap w:val="0"/>
            <w:vAlign w:val="top"/>
          </w:tcPr>
          <w:p w14:paraId="7EF149F3">
            <w:pPr>
              <w:spacing w:before="82" w:line="195" w:lineRule="auto"/>
              <w:ind w:left="1136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pacing w:val="-3"/>
                <w:sz w:val="21"/>
                <w:szCs w:val="21"/>
                <w:highlight w:val="none"/>
              </w:rPr>
              <w:t>&gt;450</w:t>
            </w:r>
          </w:p>
        </w:tc>
        <w:tc>
          <w:tcPr>
            <w:tcW w:w="3043" w:type="dxa"/>
            <w:noWrap w:val="0"/>
            <w:vAlign w:val="top"/>
          </w:tcPr>
          <w:p w14:paraId="2F69CECF">
            <w:pPr>
              <w:spacing w:before="80" w:line="233" w:lineRule="auto"/>
              <w:ind w:left="1108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pacing w:val="-1"/>
                <w:sz w:val="21"/>
                <w:szCs w:val="21"/>
                <w:highlight w:val="none"/>
              </w:rPr>
              <w:t>200×200</w:t>
            </w:r>
          </w:p>
        </w:tc>
        <w:tc>
          <w:tcPr>
            <w:tcW w:w="2270" w:type="dxa"/>
            <w:noWrap w:val="0"/>
            <w:vAlign w:val="top"/>
          </w:tcPr>
          <w:p w14:paraId="4624EB2D">
            <w:pPr>
              <w:spacing w:before="84" w:line="193" w:lineRule="auto"/>
              <w:ind w:left="1080"/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</w:pPr>
            <w:r>
              <w:rPr>
                <w:rFonts w:ascii="Times New Roman" w:hAnsi="Times New Roman" w:eastAsia="Arial" w:cs="Times New Roman"/>
                <w:sz w:val="21"/>
                <w:szCs w:val="21"/>
                <w:highlight w:val="none"/>
              </w:rPr>
              <w:t>7</w:t>
            </w:r>
          </w:p>
        </w:tc>
      </w:tr>
    </w:tbl>
    <w:p w14:paraId="6F6163D9">
      <w:pPr>
        <w:spacing w:before="73"/>
        <w:rPr>
          <w:rFonts w:ascii="Times New Roman" w:hAnsi="Times New Roman" w:cs="Times New Roman"/>
          <w:highlight w:val="none"/>
        </w:rPr>
      </w:pPr>
    </w:p>
    <w:p w14:paraId="044EB8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41191"/>
    <w:rsid w:val="42A4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2025-12-02T08:00:00Z</dcterms:created>
  <dc:creator>王超06</dc:creator>
  <cp:lastModifiedBy>王超06</cp:lastModifiedBy>
  <dcterms:modified xsi:type="dcterms:W3CDTF">2025-12-02T08:00:59Z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ICV">
    <vt:lpwstr>74C8D27D396D4D5B960F642BFC76DD20_11</vt:lpwstr>
  </property>
</Properties>
</file>