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黑体" w:hAnsi="黑体" w:eastAsia="黑体"/>
          <w:b/>
          <w:sz w:val="36"/>
        </w:rPr>
        <w:t>铁炉西车辆段物资总库火灾应急演练脚本</w:t>
      </w:r>
    </w:p>
    <w:p>
      <w:pPr>
        <w:spacing w:before="200" w:after="120"/>
      </w:pPr>
      <w:r>
        <w:rPr>
          <w:rFonts w:ascii="黑体" w:hAnsi="黑体" w:eastAsia="黑体"/>
          <w:b/>
          <w:sz w:val="28"/>
        </w:rPr>
        <w:t>一、演练场景</w:t>
      </w:r>
    </w:p>
    <w:p>
      <w:pPr>
        <w:spacing w:after="80"/>
        <w:ind w:firstLine="440"/>
      </w:pPr>
      <w:r>
        <w:rPr>
          <w:rFonts w:ascii="宋体" w:hAnsi="宋体" w:eastAsia="宋体"/>
          <w:sz w:val="22"/>
        </w:rPr>
        <w:t>2026年7月16日约14:00，模拟消防控制室FAS主机显示物资总库中小件区火警信息报警，消防控制室值班人员立即将信息告知物资调配工班长，工班长立即派物资总库值班人员到现场查看情况，发现总库中小件区物资着火发生火灾，立即用附近灭火器进行先期处置，并将现场信息报送至工班长，工班长立即将信息报至消防控制室并通知设施设备专业和自动化专业。工班长立即召集人员集合并成立抢险队，按车厂仓库火灾现场处置方案及火灾专项应急预案进行处置。</w:t>
      </w:r>
    </w:p>
    <w:p>
      <w:pPr>
        <w:spacing w:before="200" w:after="120"/>
      </w:pPr>
      <w:r>
        <w:rPr>
          <w:rFonts w:ascii="黑体" w:hAnsi="黑体" w:eastAsia="黑体"/>
          <w:b/>
          <w:sz w:val="28"/>
        </w:rPr>
        <w:t>二、时间地点</w:t>
      </w:r>
    </w:p>
    <w:p>
      <w:pPr>
        <w:spacing w:after="80"/>
        <w:ind w:firstLine="440"/>
      </w:pPr>
      <w:r>
        <w:rPr>
          <w:rFonts w:ascii="宋体" w:hAnsi="宋体" w:eastAsia="宋体"/>
          <w:sz w:val="22"/>
        </w:rPr>
        <w:t>（一）演练时间：2026年7月16日 14:00</w:t>
      </w:r>
    </w:p>
    <w:p>
      <w:pPr>
        <w:spacing w:after="80"/>
        <w:ind w:firstLine="440"/>
      </w:pPr>
      <w:r>
        <w:rPr>
          <w:rFonts w:ascii="宋体" w:hAnsi="宋体" w:eastAsia="宋体"/>
          <w:sz w:val="22"/>
        </w:rPr>
        <w:t>（二）演练地点：铁炉西车辆段物资总库中小件区</w:t>
      </w:r>
    </w:p>
    <w:p>
      <w:pPr>
        <w:spacing w:before="200" w:after="120"/>
      </w:pPr>
      <w:r>
        <w:rPr>
          <w:rFonts w:ascii="黑体" w:hAnsi="黑体" w:eastAsia="黑体"/>
          <w:b/>
          <w:sz w:val="28"/>
        </w:rPr>
        <w:t>三、演练流程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74"/>
            <w:shd w:fill="D9E2F3"/>
          </w:tcPr>
          <w:p>
            <w:pPr>
              <w:jc w:val="center"/>
            </w:pPr>
            <w:r/>
            <w:r>
              <w:rPr>
                <w:rFonts w:ascii="黑体" w:hAnsi="黑体" w:eastAsia="黑体"/>
                <w:b/>
                <w:sz w:val="21"/>
              </w:rPr>
              <w:t>程序</w:t>
            </w:r>
          </w:p>
        </w:tc>
        <w:tc>
          <w:tcPr>
            <w:tcW w:type="dxa" w:w="1247"/>
            <w:shd w:fill="D9E2F3"/>
          </w:tcPr>
          <w:p>
            <w:pPr>
              <w:jc w:val="center"/>
            </w:pPr>
            <w:r/>
            <w:r>
              <w:rPr>
                <w:rFonts w:ascii="黑体" w:hAnsi="黑体" w:eastAsia="黑体"/>
                <w:b/>
                <w:sz w:val="21"/>
              </w:rPr>
              <w:t>地点</w:t>
            </w:r>
          </w:p>
        </w:tc>
        <w:tc>
          <w:tcPr>
            <w:tcW w:type="dxa" w:w="4876"/>
            <w:shd w:fill="D9E2F3"/>
          </w:tcPr>
          <w:p>
            <w:pPr>
              <w:jc w:val="center"/>
            </w:pPr>
            <w:r/>
            <w:r>
              <w:rPr>
                <w:rFonts w:ascii="黑体" w:hAnsi="黑体" w:eastAsia="黑体"/>
                <w:b/>
                <w:sz w:val="21"/>
              </w:rPr>
              <w:t>内容提要</w:t>
            </w:r>
          </w:p>
        </w:tc>
        <w:tc>
          <w:tcPr>
            <w:tcW w:type="dxa" w:w="2041"/>
            <w:shd w:fill="D9E2F3"/>
          </w:tcPr>
          <w:p>
            <w:pPr>
              <w:jc w:val="center"/>
            </w:pPr>
            <w:r/>
            <w:r>
              <w:rPr>
                <w:rFonts w:ascii="黑体" w:hAnsi="黑体" w:eastAsia="黑体"/>
                <w:b/>
                <w:sz w:val="21"/>
              </w:rPr>
              <w:t>角色</w:t>
            </w:r>
          </w:p>
        </w:tc>
      </w:tr>
      <w:tr>
        <w:tc>
          <w:tcPr>
            <w:tcW w:type="dxa" w:w="1474"/>
          </w:tcPr>
          <w:p>
            <w:pPr>
              <w:spacing w:before="0" w:after="0" w:line="264" w:lineRule="auto"/>
            </w:pPr>
            <w:r/>
            <w:r>
              <w:rPr>
                <w:rFonts w:ascii="宋体" w:hAnsi="宋体" w:eastAsia="宋体"/>
                <w:sz w:val="20"/>
              </w:rPr>
              <w:t>演练开始</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火警发现与报告</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初期扑救</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信息通报</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应急响应</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现场警戒与消防装备穿戴</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现场应急处置</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抢险结束与设备恢复</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r>
        <w:tc>
          <w:tcPr>
            <w:tcW w:type="dxa" w:w="1474"/>
          </w:tcPr>
          <w:p>
            <w:pPr>
              <w:spacing w:before="0" w:after="0" w:line="264" w:lineRule="auto"/>
            </w:pPr>
            <w:r/>
            <w:r>
              <w:rPr>
                <w:rFonts w:ascii="宋体" w:hAnsi="宋体" w:eastAsia="宋体"/>
                <w:sz w:val="20"/>
              </w:rPr>
              <w:t>演练结束</w:t>
            </w:r>
          </w:p>
        </w:tc>
        <w:tc>
          <w:tcPr>
            <w:tcW w:type="dxa" w:w="1247"/>
          </w:tcPr>
          <w:p>
            <w:pPr>
              <w:spacing w:before="0" w:after="0" w:line="264" w:lineRule="auto"/>
            </w:pPr>
            <w:r/>
            <w:r>
              <w:rPr>
                <w:rFonts w:ascii="宋体" w:hAnsi="宋体" w:eastAsia="宋体"/>
                <w:sz w:val="20"/>
              </w:rPr>
              <w:t>地点</w:t>
            </w:r>
          </w:p>
        </w:tc>
        <w:tc>
          <w:tcPr>
            <w:tcW w:type="dxa" w:w="4876"/>
          </w:tcPr>
          <w:p>
            <w:pPr>
              <w:spacing w:before="0" w:after="0" w:line="264" w:lineRule="auto"/>
            </w:pPr>
            <w:r/>
            <w:r>
              <w:rPr>
                <w:rFonts w:ascii="宋体" w:hAnsi="宋体" w:eastAsia="宋体"/>
                <w:sz w:val="20"/>
              </w:rPr>
              <w:t>内容提要</w:t>
            </w:r>
          </w:p>
        </w:tc>
        <w:tc>
          <w:tcPr>
            <w:tcW w:type="dxa" w:w="2041"/>
          </w:tcPr>
          <w:p>
            <w:pPr>
              <w:spacing w:before="0" w:after="0" w:line="264" w:lineRule="auto"/>
            </w:pPr>
            <w:r/>
            <w:r>
              <w:rPr>
                <w:rFonts w:ascii="宋体" w:hAnsi="宋体" w:eastAsia="宋体"/>
                <w:sz w:val="20"/>
              </w:rPr>
              <w:t>角色</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