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(1102)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959 Hougang Street 91 #15-292530959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