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微软雅黑"/>
          <w:b/>
          <w:color w:val="1F4E79"/>
          <w:sz w:val="48"/>
        </w:rPr>
        <w:t>智慧非标订单打样与变更协同平台 V1.0</w:t>
      </w:r>
    </w:p>
    <w:p>
      <w:pPr>
        <w:spacing w:before="240"/>
        <w:jc w:val="center"/>
      </w:pPr>
      <w:r>
        <w:rPr>
          <w:rFonts w:ascii="Arial" w:hAnsi="Arial" w:eastAsia="微软雅黑"/>
          <w:b/>
          <w:color w:val="444444"/>
          <w:sz w:val="36"/>
        </w:rPr>
        <w:t>需求规格说明书（含技术要求）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5"/>
      </w:tblGrid>
      <w:tr>
        <w:trPr>
          <w:cantSplit/>
        </w:trPr>
        <w:tc>
          <w:tcPr>
            <w:tcW w:type="dxa" w:w="9745"/>
            <w:shd w:fill="EA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" w:hAnsi="Arial" w:eastAsia="微软雅黑"/>
                <w:b/>
                <w:color w:val="1F4E79"/>
                <w:sz w:val="21"/>
              </w:rPr>
              <w:t>产品定位</w:t>
            </w:r>
          </w:p>
          <w:p>
            <w:pPr>
              <w:spacing w:after="0" w:line="288" w:lineRule="auto"/>
            </w:pPr>
            <w:r>
              <w:rPr>
                <w:rFonts w:ascii="Times New Roman" w:hAnsi="Times New Roman" w:eastAsia="宋体"/>
                <w:sz w:val="20"/>
              </w:rPr>
              <w:t>面向非标制造企业，从客户需求、设计图纸、工艺/BOM、样品确认、采购与生产任务到变更同步和交付风险，形成可追溯的订单协同闭环。系统通过规则校验、自动通知、临期预警和统计分析，降低图纸错版、样品漏确认、变更未同步和交期延误。</w:t>
            </w:r>
          </w:p>
        </w:tc>
      </w:tr>
    </w:tbl>
    <w:p>
      <w:pPr>
        <w:spacing w:after="0"/>
      </w:pPr>
    </w:p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20"/>
              </w:rPr>
              <w:t>项目</w:t>
            </w:r>
          </w:p>
        </w:tc>
        <w:tc>
          <w:tcPr>
            <w:tcW w:type="dxa" w:w="65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文档名称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智慧非标订单打样与变更协同平台 V1.0 需求规格说明书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文档版本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适用阶段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产品立项、需求评审、系统设计、开发测试、软著说明材料整理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建议建设形态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微信小程序/移动端 + PC 管理端 + Java 后端服务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编制日期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2026年7月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1F4E79"/>
          <w:sz w:val="32"/>
        </w:rPr>
        <w:t>文档修订记录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13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9"/>
              </w:rPr>
              <w:t>版本</w:t>
            </w:r>
          </w:p>
        </w:tc>
        <w:tc>
          <w:tcPr>
            <w:tcW w:type="dxa" w:w="1417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9"/>
              </w:rPr>
              <w:t>日期</w:t>
            </w:r>
          </w:p>
        </w:tc>
        <w:tc>
          <w:tcPr>
            <w:tcW w:type="dxa" w:w="521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9"/>
              </w:rPr>
              <w:t>修订内容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V1.0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2026-07</w:t>
            </w:r>
          </w:p>
        </w:tc>
        <w:tc>
          <w:tcPr>
            <w:tcW w:type="dxa" w:w="52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首次形成完整需求与技术要求，覆盖订单、图纸版本、样品确认、变更协同、风险预警、统计分析等模块。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评审稿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1F4E79"/>
          <w:sz w:val="32"/>
        </w:rPr>
        <w:t>目录</w:t>
      </w:r>
    </w:p>
    <w:p>
      <w:pPr>
        <w:spacing w:after="60"/>
        <w:ind w:left="454"/>
      </w:pPr>
      <w:r>
        <w:rPr>
          <w:rFonts w:ascii="Times New Roman" w:hAnsi="Times New Roman" w:eastAsia="宋体"/>
          <w:sz w:val="21"/>
        </w:rPr>
        <w:t>1. 文档概述</w:t>
      </w:r>
    </w:p>
    <w:p>
      <w:pPr>
        <w:spacing w:after="60"/>
        <w:ind w:left="454"/>
      </w:pPr>
      <w:r>
        <w:rPr>
          <w:rFonts w:ascii="Times New Roman" w:hAnsi="Times New Roman" w:eastAsia="宋体"/>
          <w:sz w:val="21"/>
        </w:rPr>
        <w:t>2. 项目背景与建设目标</w:t>
      </w:r>
    </w:p>
    <w:p>
      <w:pPr>
        <w:spacing w:after="60"/>
        <w:ind w:left="454"/>
      </w:pPr>
      <w:r>
        <w:rPr>
          <w:rFonts w:ascii="Times New Roman" w:hAnsi="Times New Roman" w:eastAsia="宋体"/>
          <w:sz w:val="21"/>
        </w:rPr>
        <w:t>3. 用户角色与权限边界</w:t>
      </w:r>
    </w:p>
    <w:p>
      <w:pPr>
        <w:spacing w:after="60"/>
        <w:ind w:left="454"/>
      </w:pPr>
      <w:r>
        <w:rPr>
          <w:rFonts w:ascii="Times New Roman" w:hAnsi="Times New Roman" w:eastAsia="宋体"/>
          <w:sz w:val="21"/>
        </w:rPr>
        <w:t>4. 核心业务对象与状态模型</w:t>
      </w:r>
    </w:p>
    <w:p>
      <w:pPr>
        <w:spacing w:after="60"/>
        <w:ind w:left="454"/>
      </w:pPr>
      <w:r>
        <w:rPr>
          <w:rFonts w:ascii="Times New Roman" w:hAnsi="Times New Roman" w:eastAsia="宋体"/>
          <w:sz w:val="21"/>
        </w:rPr>
        <w:t>5. 总体业务流程</w:t>
      </w:r>
    </w:p>
    <w:p>
      <w:pPr>
        <w:spacing w:after="60"/>
        <w:ind w:left="454"/>
      </w:pPr>
      <w:r>
        <w:rPr>
          <w:rFonts w:ascii="Times New Roman" w:hAnsi="Times New Roman" w:eastAsia="宋体"/>
          <w:sz w:val="21"/>
        </w:rPr>
        <w:t>6. 功能需求</w:t>
      </w:r>
    </w:p>
    <w:p>
      <w:pPr>
        <w:spacing w:after="60"/>
        <w:ind w:left="454"/>
      </w:pPr>
      <w:r>
        <w:rPr>
          <w:rFonts w:ascii="Times New Roman" w:hAnsi="Times New Roman" w:eastAsia="宋体"/>
          <w:sz w:val="21"/>
        </w:rPr>
        <w:t>7. 智慧规则与自动化要求</w:t>
      </w:r>
    </w:p>
    <w:p>
      <w:pPr>
        <w:spacing w:after="60"/>
        <w:ind w:left="454"/>
      </w:pPr>
      <w:r>
        <w:rPr>
          <w:rFonts w:ascii="Times New Roman" w:hAnsi="Times New Roman" w:eastAsia="宋体"/>
          <w:sz w:val="21"/>
        </w:rPr>
        <w:t>8. 数据需求与数据模型</w:t>
      </w:r>
    </w:p>
    <w:p>
      <w:pPr>
        <w:spacing w:after="60"/>
        <w:ind w:left="454"/>
      </w:pPr>
      <w:r>
        <w:rPr>
          <w:rFonts w:ascii="Times New Roman" w:hAnsi="Times New Roman" w:eastAsia="宋体"/>
          <w:sz w:val="21"/>
        </w:rPr>
        <w:t>9. 技术架构与开发要求</w:t>
      </w:r>
    </w:p>
    <w:p>
      <w:pPr>
        <w:spacing w:after="60"/>
        <w:ind w:left="454"/>
      </w:pPr>
      <w:r>
        <w:rPr>
          <w:rFonts w:ascii="Times New Roman" w:hAnsi="Times New Roman" w:eastAsia="宋体"/>
          <w:sz w:val="21"/>
        </w:rPr>
        <w:t>10. 接口与集成要求</w:t>
      </w:r>
    </w:p>
    <w:p>
      <w:pPr>
        <w:spacing w:after="60"/>
        <w:ind w:left="454"/>
      </w:pPr>
      <w:r>
        <w:rPr>
          <w:rFonts w:ascii="Times New Roman" w:hAnsi="Times New Roman" w:eastAsia="宋体"/>
          <w:sz w:val="21"/>
        </w:rPr>
        <w:t>11. 非功能需求</w:t>
      </w:r>
    </w:p>
    <w:p>
      <w:pPr>
        <w:spacing w:after="60"/>
        <w:ind w:left="454"/>
      </w:pPr>
      <w:r>
        <w:rPr>
          <w:rFonts w:ascii="Times New Roman" w:hAnsi="Times New Roman" w:eastAsia="宋体"/>
          <w:sz w:val="21"/>
        </w:rPr>
        <w:t>12. 安全与审计要求</w:t>
      </w:r>
    </w:p>
    <w:p>
      <w:pPr>
        <w:spacing w:after="60"/>
        <w:ind w:left="454"/>
      </w:pPr>
      <w:r>
        <w:rPr>
          <w:rFonts w:ascii="Times New Roman" w:hAnsi="Times New Roman" w:eastAsia="宋体"/>
          <w:sz w:val="21"/>
        </w:rPr>
        <w:t>13. 测试与验收标准</w:t>
      </w:r>
    </w:p>
    <w:p>
      <w:pPr>
        <w:spacing w:after="60"/>
        <w:ind w:left="454"/>
      </w:pPr>
      <w:r>
        <w:rPr>
          <w:rFonts w:ascii="Times New Roman" w:hAnsi="Times New Roman" w:eastAsia="宋体"/>
          <w:sz w:val="21"/>
        </w:rPr>
        <w:t>14. 实施范围与版本规划</w:t>
      </w:r>
    </w:p>
    <w:p>
      <w:pPr>
        <w:spacing w:after="60"/>
        <w:ind w:left="454"/>
      </w:pPr>
      <w:r>
        <w:rPr>
          <w:rFonts w:ascii="Times New Roman" w:hAnsi="Times New Roman" w:eastAsia="宋体"/>
          <w:sz w:val="21"/>
        </w:rPr>
        <w:t>15. 软著材料展示建议</w:t>
      </w:r>
    </w:p>
    <w:p>
      <w:pPr>
        <w:spacing w:after="60"/>
        <w:ind w:left="454"/>
      </w:pPr>
      <w:r>
        <w:rPr>
          <w:rFonts w:ascii="Times New Roman" w:hAnsi="Times New Roman" w:eastAsia="宋体"/>
          <w:sz w:val="21"/>
        </w:rPr>
        <w:t>附录A. 关键业务规则清单</w:t>
      </w:r>
    </w:p>
    <w:p>
      <w:pPr>
        <w:spacing w:after="60"/>
        <w:ind w:left="454"/>
      </w:pPr>
      <w:r>
        <w:rPr>
          <w:rFonts w:ascii="Times New Roman" w:hAnsi="Times New Roman" w:eastAsia="宋体"/>
          <w:sz w:val="21"/>
        </w:rPr>
        <w:t>附录B. 核心接口示例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1F4E79"/>
          <w:sz w:val="32"/>
        </w:rPr>
        <w:t>1. 文档概述</w:t>
      </w: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1.1 编制目的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本文档用于明确“智慧非标订单打样与变更协同平台 V1.0”的业务范围、用户角色、业务流程、功能边界、数据模型、技术实现要求、性能安全要求和验收标准，为产品设计、系统开发、测试验收、部署运维及软件著作权材料编制提供统一依据。</w:t>
      </w: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1.2 产品范围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平台面向机械加工、钣金、模具、自动化设备、包装设备、家具定制、电子装配等存在“多品种、小批量、频繁变更、图纸驱动、样品确认”特点的制造企业。V1.0 重点解决订单执行过程中信息分散、版本混乱、确认遗漏和变更不同步问题，不替代完整 ERP、MES 或 PLM，而是通过协同和规则控制连接销售、技术、采购、计划、生产和质量岗位。</w:t>
      </w: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1.3 术语说明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9"/>
              </w:rPr>
              <w:t>术语</w:t>
            </w:r>
          </w:p>
        </w:tc>
        <w:tc>
          <w:tcPr>
            <w:tcW w:type="dxa" w:w="7087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非标订单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客户对尺寸、材料、结构、工艺、功能或交付方式提出定制要求，不能完全按照标准产品直接生产的订单。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打样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为验证设计、材料、工艺或客户要求而进行的小批量或单件试制。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图纸版本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图纸或技术文件每次受控修改形成的可识别版本，如 A、B、C 或 V1.0、V1.1。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变更单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记录变更原因、内容、影响范围、审批意见、执行状态和相关附件的业务单据。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受影响任务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因需求、图纸、BOM、工艺或交期变化而需要暂停、重排、返工、补料或重新确认的采购、生产、检验任务。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交期风险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根据关键确认、物料、生产任务、计划日期和延期情况计算的风险等级。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1F4E79"/>
          <w:sz w:val="32"/>
        </w:rPr>
        <w:t>2. 项目背景与建设目标</w:t>
      </w: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2.1 典型业务痛点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图纸通过微信、邮箱或共享文件夹传递，旧版图纸仍可能被采购、生产或检验继续使用。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样品已制作但客户确认结论没有进入统一系统，生产计划临近时仍无法判断是否可投产。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客户需求变更只通知了销售或技术人员，采购下单、生产排程、外协加工和质检标准未同步调整。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项目状态依靠人工询问，管理人员难以及时发现“等待确认、关键物料未到、生产未启动”等交期风险。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变更造成的延期、返工、报废和追加成本缺少结构化记录，无法判断问题主要来自客户、设计、工艺还是执行环节。</w:t>
      </w: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2.2 建设目标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  <w:cantSplit/>
        </w:trPr>
        <w:tc>
          <w:tcPr>
            <w:tcW w:type="dxa" w:w="113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目标编号</w:t>
            </w:r>
          </w:p>
        </w:tc>
        <w:tc>
          <w:tcPr>
            <w:tcW w:type="dxa" w:w="340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建设目标</w:t>
            </w:r>
          </w:p>
        </w:tc>
        <w:tc>
          <w:tcPr>
            <w:tcW w:type="dxa" w:w="425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可衡量结果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G-01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实现订单全过程单一信息源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订单、需求、图纸、样品、变更、任务和风险均可按项目追溯。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G-02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阻断错版和未经确认的关键操作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存在版本不一致、文件失效或样品未确认时，系统阻止提交或投产。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G-03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实现变更影响自动传播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变更审批通过后，自动识别并通知相关采购、计划、生产和检验责任人。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G-04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提前识别交期风险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按规则形成低、中、高、严重四级风险，并给出风险原因和处理建议。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G-05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沉淀质量与经营数据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统计变更类型、来源、延期天数、返工次数和责任环节，为流程改善提供依据。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2.3 产品成功标准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普通业务人员在小程序端能够完成查询、确认、拍照上传、变更提报和异常反馈。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管理人员在 PC 端能够完成项目建档、技术文件管理、流程配置、任务分派、风险处置和统计分析。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任何关键状态变化均留下操作者、时间、前后值、审批意见和附件证据。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系统支持至少一个企业组织下的多部门、多角色、多项目并行运行。</w:t>
      </w: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1F4E79"/>
          <w:sz w:val="32"/>
        </w:rPr>
        <w:t>3. 用户角色与权限边界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角色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主要权限</w:t>
            </w:r>
          </w:p>
        </w:tc>
        <w:tc>
          <w:tcPr>
            <w:tcW w:type="dxa" w:w="311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权限限制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系统管理员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用户、部门、角色、字典、流程、消息模板、系统参数、日志与备份配置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不得直接修改已归档业务数据，只能按授权更正并记录审计日志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销售/项目经理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客户、订单、需求、交期、项目成员、客户确认、变更发起、进度跟踪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不能替代技术人员发布受控图纸，不能直接关闭未完成技术任务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技术/设计人员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需求评审、图纸上传、版本发布、BOM/工艺维护、技术变更分析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不能直接确认客户结论，不能绕过版本校验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工艺人员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工艺路线、工序要求、检验要求、工时与外协说明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只能修改授权项目和当前生效版本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采购人员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采购任务接收、供应商反馈、到料日期、受变更物料处置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不能修改技术版本，只能基于生效版本执行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计划/生产人员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生产任务、排程、开工、完工、暂停、变更执行反馈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样品未确认或版本失效时不得强制投产，例外需审批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质量人员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样品检验、首件确认、检验结果、不合格与返工记录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检验标准必须关联当前生效图纸/工艺版本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客户确认人（可选外部账号）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查看授权项目的样品资料、确认/驳回、填写意见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只能访问被邀请项目和脱敏内容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管理层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项目看板、交期风险、变更统计、延期与返工分析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默认只读，不参与具体业务编辑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5"/>
      </w:tblGrid>
      <w:tr>
        <w:trPr>
          <w:cantSplit/>
        </w:trPr>
        <w:tc>
          <w:tcPr>
            <w:tcW w:type="dxa" w:w="9745"/>
            <w:shd w:fill="EA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" w:hAnsi="Arial" w:eastAsia="微软雅黑"/>
                <w:b/>
                <w:color w:val="1F4E79"/>
                <w:sz w:val="21"/>
              </w:rPr>
              <w:t>权限设计原则</w:t>
            </w:r>
          </w:p>
          <w:p>
            <w:pPr>
              <w:spacing w:after="0" w:line="288" w:lineRule="auto"/>
            </w:pPr>
            <w:r>
              <w:rPr>
                <w:rFonts w:ascii="Times New Roman" w:hAnsi="Times New Roman" w:eastAsia="宋体"/>
                <w:sz w:val="20"/>
              </w:rPr>
              <w:t>采用“数据权限 + 功能权限 + 字段权限 + 操作状态权限”四层控制。即使用户拥有某菜单权限，也必须同时满足所属企业、部门/项目范围和当前业务状态，才能执行修改、审批、发布、作废等操作。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1F4E79"/>
          <w:sz w:val="32"/>
        </w:rPr>
        <w:t>4. 核心业务对象与状态模型</w:t>
      </w: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4.1 核心业务对象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  <w:cantSplit/>
        </w:trPr>
        <w:tc>
          <w:tcPr>
            <w:tcW w:type="dxa" w:w="181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对象</w:t>
            </w:r>
          </w:p>
        </w:tc>
        <w:tc>
          <w:tcPr>
            <w:tcW w:type="dxa" w:w="697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主要内容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客户</w:t>
            </w:r>
          </w:p>
        </w:tc>
        <w:tc>
          <w:tcPr>
            <w:tcW w:type="dxa" w:w="69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客户基础信息、联系人、沟通偏好、历史项目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非标订单/项目</w:t>
            </w:r>
          </w:p>
        </w:tc>
        <w:tc>
          <w:tcPr>
            <w:tcW w:type="dxa" w:w="69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项目编号、客户、产品、数量、目标交期、负责人、成员、优先级、当前阶段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需求项</w:t>
            </w:r>
          </w:p>
        </w:tc>
        <w:tc>
          <w:tcPr>
            <w:tcW w:type="dxa" w:w="69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结构化记录尺寸、材料、性能、外观、包装、检验、交付等要求及确认状态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技术文件</w:t>
            </w:r>
          </w:p>
        </w:tc>
        <w:tc>
          <w:tcPr>
            <w:tcW w:type="dxa" w:w="69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图纸、3D 文件、工艺卡、BOM、检验规范、附件及其版本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样品单</w:t>
            </w:r>
          </w:p>
        </w:tc>
        <w:tc>
          <w:tcPr>
            <w:tcW w:type="dxa" w:w="69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打样目的、样品批次、制作状态、检验结论、客户确认结论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变更单</w:t>
            </w:r>
          </w:p>
        </w:tc>
        <w:tc>
          <w:tcPr>
            <w:tcW w:type="dxa" w:w="69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变更来源、原因、内容、前后对比、影响分析、审批、执行与关闭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业务任务</w:t>
            </w:r>
          </w:p>
        </w:tc>
        <w:tc>
          <w:tcPr>
            <w:tcW w:type="dxa" w:w="69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需求评审、设计、采购、生产、检验、客户确认、交付等待办任务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风险事件</w:t>
            </w:r>
          </w:p>
        </w:tc>
        <w:tc>
          <w:tcPr>
            <w:tcW w:type="dxa" w:w="69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风险等级、触发规则、影响对象、责任人、处理措施、关闭结果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延期/返工记录</w:t>
            </w:r>
          </w:p>
        </w:tc>
        <w:tc>
          <w:tcPr>
            <w:tcW w:type="dxa" w:w="69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原因分类、发生环节、影响天数、返工数量、损失说明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4.2 项目主状态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状态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说明</w:t>
            </w:r>
          </w:p>
        </w:tc>
        <w:tc>
          <w:tcPr>
            <w:tcW w:type="dxa" w:w="311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主要迁移动作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草稿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项目已建立但未提交评审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销售/项目经理提交需求评审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需求评审中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技术、工艺等角色评审需求完整性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评审通过或退回补充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设计/工艺准备中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制作图纸、BOM、工艺和检验要求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受控技术版本发布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打样中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样品任务已下发并执行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样品完成并提交检验/确认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待客户确认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等待客户确认样品或关键技术信息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客户确认、驳回或提出变更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生产准备中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采购、排程和生产资源准备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满足投产条件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生产执行中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正式生产、检验和异常处理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生产完成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待交付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包装、出货资料、交付确认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完成交付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已完成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订单业务闭环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归档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暂停/取消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因客户、技术、物料或经营原因暂停/取消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恢复或终止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4.3 变更单状态</w:t>
      </w:r>
    </w:p>
    <w:p>
      <w:pPr>
        <w:spacing w:before="0" w:after="120" w:line="300" w:lineRule="auto"/>
      </w:pPr>
      <w:r>
        <w:rPr>
          <w:rFonts w:ascii="Times New Roman" w:hAnsi="Times New Roman" w:eastAsia="宋体"/>
          <w:b w:val="0"/>
          <w:sz w:val="21"/>
        </w:rPr>
        <w:t>草稿 → 待影响分析 → 待审批 → 已批准待执行 → 执行中 → 待验证 → 已关闭；审批驳回后回到“草稿/已驳回”，撤销后进入“已撤销”。已关闭变更不得直接编辑，必须新建补充变更。</w:t>
      </w: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1F4E79"/>
          <w:sz w:val="32"/>
        </w:rPr>
        <w:t>5. 总体业务流程</w:t>
      </w: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5.1 主流程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6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步骤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阶段</w:t>
            </w:r>
          </w:p>
        </w:tc>
        <w:tc>
          <w:tcPr>
            <w:tcW w:type="dxa" w:w="453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关键活动</w:t>
            </w:r>
          </w:p>
        </w:tc>
        <w:tc>
          <w:tcPr>
            <w:tcW w:type="dxa" w:w="187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输出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1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销售建档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创建客户和非标订单，录入目标交期、数量、需求与附件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订单草稿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2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需求评审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技术、工艺、质量等确认需求完整性和可制造性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评审结论/问题清单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3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设计发布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上传图纸、BOM、工艺和检验要求，校验后发布生效版本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受控技术版本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4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打样执行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生成样品任务，记录物料、制作、检验和问题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样品批次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5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样品确认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内部检验后提交客户确认，记录确认/驳回/条件通过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确认结论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生产准备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采购和计划根据生效版本建立任务，检查投产条件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采购/生产任务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7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生产交付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执行生产、检验、包装和出货，处理异常与变更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完工与交付记录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8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项目复盘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统计延期、变更、返工和风险处理效果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复盘数据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5.2 变更协同流程</w:t>
      </w:r>
    </w:p>
    <w:p>
      <w:pPr>
        <w:pStyle w:val="ListNumber"/>
        <w:spacing w:after="60" w:line="288" w:lineRule="auto"/>
      </w:pPr>
      <w:r>
        <w:rPr>
          <w:rFonts w:ascii="Times New Roman" w:hAnsi="Times New Roman" w:eastAsia="宋体"/>
          <w:sz w:val="21"/>
        </w:rPr>
        <w:t>变更发起：客户、销售、技术、工艺、采购或生产人员发起，必须填写变更原因、变更前后内容和紧急程度。</w:t>
      </w:r>
    </w:p>
    <w:p>
      <w:pPr>
        <w:pStyle w:val="ListNumber"/>
        <w:spacing w:after="60" w:line="288" w:lineRule="auto"/>
      </w:pPr>
      <w:r>
        <w:rPr>
          <w:rFonts w:ascii="Times New Roman" w:hAnsi="Times New Roman" w:eastAsia="宋体"/>
          <w:sz w:val="21"/>
        </w:rPr>
        <w:t>影响分析：系统根据关联关系自动列出可能受影响的图纸、BOM、采购任务、生产任务、样品和检验标准，责任人补充处理意见。</w:t>
      </w:r>
    </w:p>
    <w:p>
      <w:pPr>
        <w:pStyle w:val="ListNumber"/>
        <w:spacing w:after="60" w:line="288" w:lineRule="auto"/>
      </w:pPr>
      <w:r>
        <w:rPr>
          <w:rFonts w:ascii="Times New Roman" w:hAnsi="Times New Roman" w:eastAsia="宋体"/>
          <w:sz w:val="21"/>
        </w:rPr>
        <w:t>审批决策：根据变更类型、影响金额、是否已投产等条件选择审批链。</w:t>
      </w:r>
    </w:p>
    <w:p>
      <w:pPr>
        <w:pStyle w:val="ListNumber"/>
        <w:spacing w:after="60" w:line="288" w:lineRule="auto"/>
      </w:pPr>
      <w:r>
        <w:rPr>
          <w:rFonts w:ascii="Times New Roman" w:hAnsi="Times New Roman" w:eastAsia="宋体"/>
          <w:sz w:val="21"/>
        </w:rPr>
        <w:t>版本发布：涉及技术文件时生成新版本，旧版本自动标记失效，未完成任务重新绑定或暂停。</w:t>
      </w:r>
    </w:p>
    <w:p>
      <w:pPr>
        <w:pStyle w:val="ListNumber"/>
        <w:spacing w:after="60" w:line="288" w:lineRule="auto"/>
      </w:pPr>
      <w:r>
        <w:rPr>
          <w:rFonts w:ascii="Times New Roman" w:hAnsi="Times New Roman" w:eastAsia="宋体"/>
          <w:sz w:val="21"/>
        </w:rPr>
        <w:t>执行同步：向采购、计划、生产、质量等受影响岗位发送任务和通知，要求反馈执行结果。</w:t>
      </w:r>
    </w:p>
    <w:p>
      <w:pPr>
        <w:pStyle w:val="ListNumber"/>
        <w:spacing w:after="60" w:line="288" w:lineRule="auto"/>
      </w:pPr>
      <w:r>
        <w:rPr>
          <w:rFonts w:ascii="Times New Roman" w:hAnsi="Times New Roman" w:eastAsia="宋体"/>
          <w:sz w:val="21"/>
        </w:rPr>
        <w:t>验证关闭：确认受影响任务全部完成或已处置，填写延期、返工、追加成本等结果后关闭变更。</w:t>
      </w: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1F4E79"/>
          <w:sz w:val="32"/>
        </w:rPr>
        <w:t>6. 功能需求</w:t>
      </w: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6.1 工作台与项目看板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编号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功能</w:t>
            </w:r>
          </w:p>
        </w:tc>
        <w:tc>
          <w:tcPr>
            <w:tcW w:type="dxa" w:w="453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需求说明</w:t>
            </w:r>
          </w:p>
        </w:tc>
        <w:tc>
          <w:tcPr>
            <w:tcW w:type="dxa" w:w="85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FR-DASH-001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个人工作台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显示本人待办、临期任务、未读通知、关注项目和最近操作。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FR-DASH-002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项目总览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按项目显示当前阶段、目标交期、剩余天数、责任人、样品状态、变更数和风险等级。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FR-DASH-003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风险卡片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支持按严重、高、中、低筛选风险，并展示触发原因和建议动作。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FR-DASH-004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管理看板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统计进行中项目、延期项目、待客户确认、待发布图纸、未完成变更和本月返工。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FR-DASH-005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快捷操作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根据角色提供新建订单、上传图纸、提交样品确认、发起变更等入口。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中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6.2 客户与非标订单管理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编号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功能</w:t>
            </w:r>
          </w:p>
        </w:tc>
        <w:tc>
          <w:tcPr>
            <w:tcW w:type="dxa" w:w="453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需求说明</w:t>
            </w:r>
          </w:p>
        </w:tc>
        <w:tc>
          <w:tcPr>
            <w:tcW w:type="dxa" w:w="85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FR-ORD-001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客户档案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维护客户名称、行业、联系人、联系方式、结算与交付说明；支持启用/停用。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FR-ORD-002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订单建档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自动生成项目编号，录入客户、产品、数量、目标交期、优先级、负责人和成员。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FR-ORD-003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需求结构化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需求按尺寸、材料、性能、外观、工艺、检验、包装、交付等分类录入。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FR-ORD-004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需求确认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每条需求支持未确认、内部确认、客户确认、存在异议等状态。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FR-ORD-005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项目成员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支持跨部门选择成员，指定项目经理、技术负责人、采购负责人等。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FR-ORD-006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项目时间轴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按时间展示创建、评审、文件发布、样品、变更、风险和任务状态变化。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FR-ORD-007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项目复制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可复制历史订单的需求结构、成员、BOM/工艺模板，但不得复制生效版本号和确认结论。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低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6.3 图纸与技术文件版本管理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编号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功能</w:t>
            </w:r>
          </w:p>
        </w:tc>
        <w:tc>
          <w:tcPr>
            <w:tcW w:type="dxa" w:w="453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需求说明</w:t>
            </w:r>
          </w:p>
        </w:tc>
        <w:tc>
          <w:tcPr>
            <w:tcW w:type="dxa" w:w="85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FR-DOC-001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文件分类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支持图纸、3D 模型、BOM、工艺卡、检验规范、客户附件等分类。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FR-DOC-002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版本上传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上传时填写版本号、变更说明、生效日期、适用物料/部件和来源。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FR-DOC-003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版本唯一性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同一项目、同一文件类型和对象下，版本号不得重复；同一时刻只能有一个生效版本。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FR-DOC-004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发布审批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关键技术文件需经技术负责人审核后发布，草稿文件不得被生产任务引用。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FR-DOC-005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版本对比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展示前后版本的基础信息、变更说明、关联对象和附件；支持人工上传对比图。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FR-DOC-006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失效控制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新版本生效后旧版本自动失效，并通知仍引用旧版本的未完成任务。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FR-DOC-007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下载水印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下载受控文件时叠加项目编号、版本、下载人和时间水印（可配置）。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FR-DOC-008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二维码识别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为生效技术文件生成二维码，现场扫码查看当前版本和有效状态。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FR-DOC-009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版本阻断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采购、投产、检验提交前校验引用版本；版本不一致、失效或缺失时禁止提交。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6.4 BOM、工艺与检验要求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编号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功能</w:t>
            </w:r>
          </w:p>
        </w:tc>
        <w:tc>
          <w:tcPr>
            <w:tcW w:type="dxa" w:w="453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需求说明</w:t>
            </w:r>
          </w:p>
        </w:tc>
        <w:tc>
          <w:tcPr>
            <w:tcW w:type="dxa" w:w="85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FR-TEC-001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BOM 维护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按项目和版本维护物料编码、名称、规格、数量、单位、采购/自制属性和替代料。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FR-TEC-002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BOM 导入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支持 Excel 模板导入并校验必填项、重复物料和数量格式。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FR-TEC-003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工艺路线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维护工序顺序、作业说明、设备/工装、标准工时、外协标识和质检点。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FR-TEC-004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检验要求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维护样品、首件、过程和成品检验项目、标准、抽样规则和附件。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FR-TEC-005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版本绑定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BOM、工艺、检验规范必须绑定图纸或技术版本，变更时自动进入影响分析。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FR-TEC-006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发布校验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缺少关键物料、工艺或检验要求时禁止发布完整技术包，可按配置允许例外审批。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中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6.5 样品与客户确认管理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编号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功能</w:t>
            </w:r>
          </w:p>
        </w:tc>
        <w:tc>
          <w:tcPr>
            <w:tcW w:type="dxa" w:w="453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需求说明</w:t>
            </w:r>
          </w:p>
        </w:tc>
        <w:tc>
          <w:tcPr>
            <w:tcW w:type="dxa" w:w="85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FR-SMP-001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样品申请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创建样品单，填写打样目的、数量、计划完成时间、引用版本和责任人。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FR-SMP-002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样品任务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自动生成备料、制作、检验、提交确认等任务，支持拍照和附件上传。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FR-SMP-003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样品检验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记录检验项目、实测值、合格结论、问题和整改结果。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FR-SMP-004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提交客户确认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生成确认链接/二维码或由销售代录，记录提交时间、资料和截止时间。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FR-SMP-005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确认结论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支持通过、条件通过、驳回、待补充；必须填写意见，保留确认人、时间和凭证。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FR-SMP-006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确认阻断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样品未通过时，不允许项目进入正式生产；特殊放行需指定审批人和原因。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FR-SMP-007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临期预警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距离计划投产日期达到阈值且样品未确认时，自动产生预警和催办。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FR-SMP-008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多轮样品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支持样品批次迭代，每轮绑定对应技术版本并关联上一轮问题。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中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6.6 变更管理与影响同步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编号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功能</w:t>
            </w:r>
          </w:p>
        </w:tc>
        <w:tc>
          <w:tcPr>
            <w:tcW w:type="dxa" w:w="453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需求说明</w:t>
            </w:r>
          </w:p>
        </w:tc>
        <w:tc>
          <w:tcPr>
            <w:tcW w:type="dxa" w:w="85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FR-CHG-001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变更发起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支持客户需求、设计、BOM、工艺、材料、数量、交期、包装等变更类型。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FR-CHG-002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前后对比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必须记录变更前内容、变更后内容、原因、紧急程度和附件。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FR-CHG-003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影响对象识别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根据项目关联自动列出相关文件、物料、采购任务、生产任务、样品和检验要求。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FR-CHG-004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影响分析协同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受影响部门填写是否受影响、处理方案、预计延期、追加成本和责任人。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FR-CHG-005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动态审批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根据是否已采购、已投产、影响金额、延期天数等条件选择审批人。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FR-CHG-006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自动暂停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高风险变更批准后，可自动暂停引用旧版本且未完成的生产/采购任务。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FR-CHG-007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自动通知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变更批准或撤销后向受影响任务责任人发送站内、小程序订阅消息或企业微信通知。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FR-CHG-008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执行反馈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责任人逐项反馈已重排、已改单、已退料、已返工、无需处理等结果。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FR-CHG-009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关闭校验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受影响项未全部处理或验证不通过时，禁止关闭变更。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FR-CHG-010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结果归因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关闭时记录延期天数、返工数量、报废数量、追加成本和原因分类。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6.7 采购、生产与交付协同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编号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功能</w:t>
            </w:r>
          </w:p>
        </w:tc>
        <w:tc>
          <w:tcPr>
            <w:tcW w:type="dxa" w:w="453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需求说明</w:t>
            </w:r>
          </w:p>
        </w:tc>
        <w:tc>
          <w:tcPr>
            <w:tcW w:type="dxa" w:w="85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FR-EXE-001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采购任务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从 BOM 或手工生成采购任务，记录供应商、计划到料、实际到料和异常。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FR-EXE-002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生产任务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按项目、部件、工序生成任务，记录计划开始/完成、实际状态和责任班组。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FR-EXE-003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投产校验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校验图纸版本、生效技术包、样品确认、关键物料和未关闭高风险变更。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FR-EXE-004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扫码查看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现场扫码查看项目、任务、当前图纸版本、工艺和变更提醒。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FR-EXE-005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异常上报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支持缺料、设备、质量、技术、外协和进度异常，上传图片并创建风险。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FR-EXE-006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交付检查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交付前检查任务完成、检验通过、资料齐套和未关闭严重风险。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FR-EXE-007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交付记录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记录出货时间、数量、物流、签收和客户反馈。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中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6.8 风险预警与消息中心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编号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功能</w:t>
            </w:r>
          </w:p>
        </w:tc>
        <w:tc>
          <w:tcPr>
            <w:tcW w:type="dxa" w:w="453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需求说明</w:t>
            </w:r>
          </w:p>
        </w:tc>
        <w:tc>
          <w:tcPr>
            <w:tcW w:type="dxa" w:w="85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FR-RSK-001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规则预警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按样品确认、图纸发布、物料到货、任务进度、变更状态和交期计算风险。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FR-RSK-002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风险等级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支持低、中、高、严重四级，等级变化时记录原因并通知责任人。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FR-RSK-003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风险处置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风险需填写处理措施、计划完成时间、责任人和关闭说明。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FR-RSK-004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催办升级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待办超时后提醒本人，继续超时可升级至项目经理和部门负责人。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FR-RSK-005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消息模板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按事件配置站内信、小程序订阅消息、邮件或企业微信模板。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FR-RSK-006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消息回执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记录发送渠道、发送时间、接收人、发送结果和已读状态。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中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6.9 统计分析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编号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功能</w:t>
            </w:r>
          </w:p>
        </w:tc>
        <w:tc>
          <w:tcPr>
            <w:tcW w:type="dxa" w:w="453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需求说明</w:t>
            </w:r>
          </w:p>
        </w:tc>
        <w:tc>
          <w:tcPr>
            <w:tcW w:type="dxa" w:w="85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FR-ANA-001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交期统计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按客户、项目经理、产品类型和月份统计按期、延期、平均延期天数。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FR-ANA-002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变更统计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统计变更数量、来源、类型、发生阶段、审批时长和关闭时长。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FR-ANA-003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延期归因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统计各类变更和异常导致的延期天数，支持主因/次因分类。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FR-ANA-004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返工统计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统计返工次数、数量、工序、原因、关联变更和责任环节。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FR-ANA-005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样品效率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统计打样轮次、首次通过率、平均确认时长和驳回原因。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FR-ANA-006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部门负载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统计各部门待办、超时任务和受影响任务数量。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FR-ANA-007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数据导出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支持按权限导出 Excel；导出文件记录操作日志并可加水印。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中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6.10 系统管理与审计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编号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功能</w:t>
            </w:r>
          </w:p>
        </w:tc>
        <w:tc>
          <w:tcPr>
            <w:tcW w:type="dxa" w:w="453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需求说明</w:t>
            </w:r>
          </w:p>
        </w:tc>
        <w:tc>
          <w:tcPr>
            <w:tcW w:type="dxa" w:w="85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FR-SYS-001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组织与用户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维护企业、部门、岗位、用户、角色和项目成员。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FR-SYS-002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数据字典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维护订单类型、变更类型、风险原因、返工原因、文件类型等字典。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FR-SYS-003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流程配置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配置需求评审、文件发布、样品放行、变更审批等流程和条件。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FR-SYS-004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规则参数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配置预警阈值、风险权重、催办周期、允许上传格式和文件大小。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FR-SYS-005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操作日志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记录登录、查询、导出、上传、发布、审批、作废和关键数据修改。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FR-SYS-006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数据归档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已完成项目可归档为只读；恢复需管理员授权并记录原因。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中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1F4E79"/>
          <w:sz w:val="32"/>
        </w:rPr>
        <w:t>7. 智慧规则与自动化要求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本平台中的“智慧”主要由规则引擎、状态机、关联关系和定时任务实现，不依赖 AI 算法或现场硬件。规则必须可配置、可解释、可追溯，任何自动阻断或风险判定都应向用户显示具体原因。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30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规则编号</w:t>
            </w:r>
          </w:p>
        </w:tc>
        <w:tc>
          <w:tcPr>
            <w:tcW w:type="dxa" w:w="187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规则名称</w:t>
            </w:r>
          </w:p>
        </w:tc>
        <w:tc>
          <w:tcPr>
            <w:tcW w:type="dxa" w:w="294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触发条件</w:t>
            </w:r>
          </w:p>
        </w:tc>
        <w:tc>
          <w:tcPr>
            <w:tcW w:type="dxa" w:w="266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系统动作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BR-001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技术版本一致性阻断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提交采购、投产、检验或交付时，校验任务引用版本与当前生效版本。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不一致、失效、缺失时阻断；显示正确版本和处理入口。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BR-002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样品确认阻断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项目进入正式生产前校验样品结论。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未确认、驳回或确认已过期时阻断；特殊放行需审批。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BR-003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变更影响传播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变更批准后按关联关系查找受影响任务。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生成影响项、自动通知、必要时暂停旧版本任务。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BR-004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样品临期预警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计划投产日期减去当前日期小于阈值且样品未确认。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产生高风险，通知销售、项目经理和计划人员。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BR-005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交期风险计算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综合剩余天数、关键任务完成率、样品状态、物料状态、未关闭变更和历史延期。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输出风险等级、主要原因、建议动作。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BR-006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文件发布完整性校验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发布技术包前检查图纸、BOM、工艺、检验要求和版本说明。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缺少必需项时阻断或进入例外审批。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BR-007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变更关闭校验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关闭变更前检查所有影响项和验证任务。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存在未完成、未反馈、验证失败项时禁止关闭。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BR-008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超时升级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待办超过计划完成时间。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按配置通知本人、项目经理、部门负责人。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BR-009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交付完整性校验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出货前检查生产、检验、资料和严重风险。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不满足时阻断交付确认。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BR-010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统计自动归因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变更或异常关闭时读取原因分类、延期和返工数据。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自动进入对应统计维度，允许管理人员复核。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7.1 交期风险等级建议算法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V1.0 可采用规则加权而非机器学习。系统对每个项目计算风险分值 RiskScore（0～100），并保留每项加分依据。以下为建议初始规则，企业可在系统参数中调整。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  <w:cantSplit/>
        </w:trPr>
        <w:tc>
          <w:tcPr>
            <w:tcW w:type="dxa" w:w="65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风险因素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建议分值</w:t>
            </w:r>
          </w:p>
        </w:tc>
      </w:tr>
      <w:tr>
        <w:trPr>
          <w:cantSplit/>
        </w:trPr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样品未确认且距投产≤3天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+30</w:t>
            </w:r>
          </w:p>
        </w:tc>
      </w:tr>
      <w:tr>
        <w:trPr>
          <w:cantSplit/>
        </w:trPr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存在未关闭严重/高风险变更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+25</w:t>
            </w:r>
          </w:p>
        </w:tc>
      </w:tr>
      <w:tr>
        <w:trPr>
          <w:cantSplit/>
        </w:trPr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关键物料预计到货晚于计划开工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+25</w:t>
            </w:r>
          </w:p>
        </w:tc>
      </w:tr>
      <w:tr>
        <w:trPr>
          <w:cantSplit/>
        </w:trPr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生效技术包未发布且距开工≤2天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+20</w:t>
            </w:r>
          </w:p>
        </w:tc>
      </w:tr>
      <w:tr>
        <w:trPr>
          <w:cantSplit/>
        </w:trPr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关键任务超期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每项+10，最多+30</w:t>
            </w:r>
          </w:p>
        </w:tc>
      </w:tr>
      <w:tr>
        <w:trPr>
          <w:cantSplit/>
        </w:trPr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剩余工期小于计划工时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+20</w:t>
            </w:r>
          </w:p>
        </w:tc>
      </w:tr>
      <w:tr>
        <w:trPr>
          <w:cantSplit/>
        </w:trPr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项目已延期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+40</w:t>
            </w:r>
          </w:p>
        </w:tc>
      </w:tr>
      <w:tr>
        <w:trPr>
          <w:cantSplit/>
        </w:trPr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所有关键条件满足且进度正常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-10，最低为0</w:t>
            </w:r>
          </w:p>
        </w:tc>
      </w:tr>
    </w:tbl>
    <w:p>
      <w:pPr>
        <w:spacing w:after="0"/>
      </w:pPr>
    </w:p>
    <w:p>
      <w:pPr>
        <w:spacing w:before="0" w:after="120" w:line="300" w:lineRule="auto"/>
      </w:pPr>
      <w:r>
        <w:rPr>
          <w:rFonts w:ascii="Times New Roman" w:hAnsi="Times New Roman" w:eastAsia="宋体"/>
          <w:b w:val="0"/>
          <w:sz w:val="21"/>
        </w:rPr>
        <w:t>建议等级：0～19 为低风险，20～39 为中风险，40～69 为高风险，70～100 为严重风险。风险等级变化必须记录触发时间、分值明细和规则版本，便于后续复盘。</w:t>
      </w: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1F4E79"/>
          <w:sz w:val="32"/>
        </w:rPr>
        <w:t>8. 数据需求与数据模型</w:t>
      </w: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8.1 数据设计原则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所有核心业务表包含企业标识、创建人、创建时间、修改人、修改时间、逻辑删除和乐观锁版本字段。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文件本体存储在对象存储中，数据库保存文件元数据、哈希值、业务关联、版本和权限信息。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状态变化采用业务流水或事件表记录，不仅保存最终状态。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变更前后值、审批意见和关键确认结论应采用不可覆盖的历史记录，禁止直接更新覆盖。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统计字段优先来源于业务数据自动汇总，不允许仅手工填报。</w:t>
      </w: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8.2 建议核心数据表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  <w:cantSplit/>
        </w:trPr>
        <w:tc>
          <w:tcPr>
            <w:tcW w:type="dxa" w:w="368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表/表组</w:t>
            </w:r>
          </w:p>
        </w:tc>
        <w:tc>
          <w:tcPr>
            <w:tcW w:type="dxa" w:w="510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sys_user / sys_dept / sys_role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用户、部门、角色与权限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crm_customer / crm_contact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客户及联系人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nso_project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非标订单/项目主表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nso_project_member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项目成员与项目内角色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nso_requirement / nso_requirement_history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需求项及变更历史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nso_document / nso_document_version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技术文件及版本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nso_bom / nso_bom_item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BOM 版本及明细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nso_process_route / nso_process_step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工艺路线及工序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nso_inspection_spec / nso_inspection_item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检验规范及项目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nso_sample / nso_sample_check / nso_sample_confirm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样品、检验与客户确认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nso_change / nso_change_impact / nso_change_approval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变更、影响项和审批记录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nso_task / nso_task_log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业务任务和状态流水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nso_risk / nso_risk_action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风险事件与处置记录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nso_delay_rework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延期、返工、报废和成本记录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nso_message / nso_message_receipt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消息和回执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sys_operation_log / sys_login_log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审计与登录日志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8.3 关键字段示例：项目主表 nso_project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  <w:cantSplit/>
        </w:trPr>
        <w:tc>
          <w:tcPr>
            <w:tcW w:type="dxa" w:w="283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字段</w:t>
            </w:r>
          </w:p>
        </w:tc>
        <w:tc>
          <w:tcPr>
            <w:tcW w:type="dxa" w:w="198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类型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id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bigint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主键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tenant_id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bigint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企业/租户标识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project_no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varchar(32)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项目编号，唯一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customer_id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bigint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客户ID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project_name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varchar(128)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项目名称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product_name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varchar(128)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产品/设备名称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quantity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decimal(12,3)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订单数量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target_delivery_date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date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目标交期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plan_start_date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date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计划开工日期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owner_id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bigint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项目经理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stage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varchar(32)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当前阶段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status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varchar(32)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业务状态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risk_level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varchar(16)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当前风险等级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risk_score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int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风险分值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current_doc_version_id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bigint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当前生效技术包版本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sample_confirm_status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varchar(24)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样品确认状态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version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int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乐观锁版本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datetime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创建时间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8.4 数据关系要求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一个项目可包含多条需求、多份技术文件、多轮样品、多张变更单和多项采购/生产任务。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每个样品批次必须绑定其使用的图纸、BOM、工艺和检验版本。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每个采购、生产和检验任务必须保存创建时引用的版本，并在执行前与当前生效版本比对。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变更影响项必须指向具体业务对象及原状态，不能只保存文字描述。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风险事件既可由规则自动生成，也可人工创建；自动风险需保存规则编号和规则版本。</w:t>
      </w: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1F4E79"/>
          <w:sz w:val="32"/>
        </w:rPr>
        <w:t>9. 技术架构与开发要求</w:t>
      </w: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9.1 推荐总体架构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  <w:cantSplit/>
        </w:trPr>
        <w:tc>
          <w:tcPr>
            <w:tcW w:type="dxa" w:w="1417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层次</w:t>
            </w:r>
          </w:p>
        </w:tc>
        <w:tc>
          <w:tcPr>
            <w:tcW w:type="dxa" w:w="294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建议技术</w:t>
            </w:r>
          </w:p>
        </w:tc>
        <w:tc>
          <w:tcPr>
            <w:tcW w:type="dxa" w:w="442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要求/用途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移动端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微信小程序或 uni-app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适用于现场查询、扫码、拍照上传、任务处理、样品确认和消息提醒。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PC 管理端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Vue 3 + TypeScript + Element Plus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适用于复杂表格、技术文件、流程配置、看板和统计分析。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后端服务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Java 17/21 + Spring Boot 3.x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提供 REST API、权限、业务规则、事务、定时任务和消息服务。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基础框架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RuoYi-Vue-Plus 或同类前后端分离框架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复用组织权限、字典、日志、代码生成和系统管理能力。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数据访问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MyBatis-Plus + MySQL 8.0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支持事务、分页、乐观锁、逻辑删除和多租户字段隔离。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缓存/锁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Redis 7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缓存字典和权限、分布式锁、防重复提交、验证码和会话辅助。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文件存储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MinIO/兼容 S3 对象存储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保存图纸、照片、确认凭证和导出文件；数据库仅保存元数据。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任务调度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Spring Scheduler/Quartz/XXL-JOB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执行风险计算、临期预警、超时催办和统计汇总。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实时通知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WebSocket 或 SSE + 小程序订阅消息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实现 PC 实时提醒和移动端关键通知。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部署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Nginx + Docker Compose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适合中小制造企业私有化部署，后续可演进 Kubernetes。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9.2 后端模块划分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模块</w:t>
            </w:r>
          </w:p>
        </w:tc>
        <w:tc>
          <w:tcPr>
            <w:tcW w:type="dxa" w:w="65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system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用户、组织、角色、菜单、字典、参数、日志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customer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客户与联系人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project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订单、需求、成员、时间轴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document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文件、版本、发布、下载水印、二维码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technical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BOM、工艺、检验规范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sample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样品、检验、客户确认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change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变更、影响分析、审批、执行与关闭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task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采购/生产/检验/协同任务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risk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规则、风险计算、预警与处置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message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站内消息、订阅消息、回执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report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统计、看板、Excel 导出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file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分片上传、对象存储、病毒/格式校验接口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9.3 开发规范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后端采用分层或领域模块化结构：Controller 仅负责参数与权限，Service 负责业务事务，Domain/Manager 负责复杂规则，Mapper 负责数据访问。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接口统一返回码、消息、数据和追踪号；异常分为参数错误、权限错误、业务规则错误、系统错误。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关键提交接口必须支持幂等：前端生成 requestId 或后端使用业务唯一键，防止重复创建变更、确认和任务。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状态迁移不得由前端直接传任意状态，必须调用明确动作接口并由后端校验前置条件。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所有枚举、字典值和规则编号集中管理，禁止在多个模块硬编码中文状态。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代码应覆盖单元测试和集成测试，核心规则、状态机和权限判断为重点测试对象。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建议使用 OpenAPI 3/Swagger 生成接口文档，使用数据库迁移工具 Flyway 或 Liquibase 管理结构变更。</w:t>
      </w: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9.4 文件版本技术要求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文件上传后计算 SHA-256 哈希，避免相同内容重复存储，并用于完整性校验。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文件元数据至少包含原文件名、存储路径、大小、MIME、哈希、业务对象、版本、上传人和上传时间。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受控文件发布后不得覆盖原文件；修改必须生成新版本记录和新对象存储文件。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下载接口必须经过权限校验并记录日志，不允许前端直接暴露永久对象存储地址。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大文件建议支持分片上传、断点续传和上传后合并；V1.0 可设单文件上限 200MB，并由参数配置。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二维图纸建议支持 PDF/图片在线预览；DWG、STEP 等格式 V1.0 可先提供受控下载，后续增加转换预览服务。</w:t>
      </w: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9.5 规则引擎实现要求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V1.0 不必引入复杂商业规则引擎，可采用“规则配置表 + Java 策略类 + 定时扫描/事件触发”的方式。每条规则应包含规则编号、名称、启停状态、适用阶段、触发事件、参数 JSON、执行动作和版本号。高频实时校验采用事件触发，临期与超时类规则采用定时任务。</w:t>
      </w: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1F4E79"/>
          <w:sz w:val="32"/>
        </w:rPr>
        <w:t>10. 接口与集成要求</w:t>
      </w: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10.1 API 设计原则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接口前缀建议为 /api/v1，使用 HTTPS 和 JSON；文件上传采用 multipart/form-data。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鉴权建议采用 Spring Security + JWT/Token，PC 与小程序使用统一用户体系和不同客户端标识。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列表接口统一支持分页、排序、关键字和权限过滤；导出接口采用异步任务避免超时。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所有写操作返回业务对象 ID、最新状态和版本号，前端据此刷新。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关键动作接口需传入乐观锁版本，发现并发修改时返回明确冲突提示。</w:t>
      </w: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10.2 核心接口清单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  <w:cantSplit/>
        </w:trPr>
        <w:tc>
          <w:tcPr>
            <w:tcW w:type="dxa" w:w="113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方法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路径</w:t>
            </w:r>
          </w:p>
        </w:tc>
        <w:tc>
          <w:tcPr>
            <w:tcW w:type="dxa" w:w="368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/api/v1/projects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创建非标订单/项目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/api/v1/projects/{id}/submit-review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提交需求评审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/api/v1/documents/{id}/versions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上传新文件版本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/api/v1/document-versions/{id}/publish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审批并发布技术版本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/api/v1/samples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创建样品单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/api/v1/samples/{id}/submit-confirm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提交样品客户确认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/api/v1/sample-confirms/{id}/decision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记录确认结论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/api/v1/changes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发起变更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/api/v1/changes/{id}/analyze-impact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执行/刷新影响分析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/api/v1/changes/{id}/approve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审批变更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/api/v1/changes/{id}/execute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提交执行反馈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/api/v1/tasks/{id}/start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任务开工并执行版本校验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/api/v1/projects/{id}/risk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查询风险等级和分值明细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/api/v1/reports/change-delay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查询变更延期统计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/api/v1/files/upload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上传文件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/api/v1/files/{id}/download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鉴权下载并记录日志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10.3 可选外部集成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系统</w:t>
            </w:r>
          </w:p>
        </w:tc>
        <w:tc>
          <w:tcPr>
            <w:tcW w:type="dxa" w:w="538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集成内容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ERP</w:t>
            </w:r>
          </w:p>
        </w:tc>
        <w:tc>
          <w:tcPr>
            <w:tcW w:type="dxa" w:w="53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同步客户、销售订单、物料、采购订单、供应商和出入库状态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后续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MES</w:t>
            </w:r>
          </w:p>
        </w:tc>
        <w:tc>
          <w:tcPr>
            <w:tcW w:type="dxa" w:w="53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同步生产工单、工序进度、报工和质量结果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后续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企业微信/钉钉</w:t>
            </w:r>
          </w:p>
        </w:tc>
        <w:tc>
          <w:tcPr>
            <w:tcW w:type="dxa" w:w="53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统一身份、消息通知、待办链接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可选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邮件/短信</w:t>
            </w:r>
          </w:p>
        </w:tc>
        <w:tc>
          <w:tcPr>
            <w:tcW w:type="dxa" w:w="53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客户确认通知、超时催办、交付通知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可选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CAD/PDM/PLM</w:t>
            </w:r>
          </w:p>
        </w:tc>
        <w:tc>
          <w:tcPr>
            <w:tcW w:type="dxa" w:w="53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图纸元数据和版本同步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后续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1F4E79"/>
          <w:sz w:val="32"/>
        </w:rPr>
        <w:t>11.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编号/类别</w:t>
            </w:r>
          </w:p>
        </w:tc>
        <w:tc>
          <w:tcPr>
            <w:tcW w:type="dxa" w:w="65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NFR-001 性能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常用列表/详情接口在正常负载下 95% 响应时间≤2秒；复杂统计≤5秒；大文件上传除外。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NFR-002 并发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V1.0 建议支持单企业 200 在线用户、50 并发写操作；架构可水平扩展。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NFR-003 可用性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工作时段月可用性目标≥99.5%；服务异常应有健康检查和重启机制。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NFR-004 兼容性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PC 端支持主流 Chrome/Edge 最近两个大版本；小程序支持微信当前主流基础库。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NFR-005 易用性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高频移动操作不超过 3 个主要步骤；阻断提示必须说明原因和处理入口。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NFR-006 可维护性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业务模块独立、数据库变更可迁移、日志可检索、配置不硬编码。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NFR-007 可追溯性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关键操作和状态变化保留完整历史，默认保存不少于 3 年，可按企业配置。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NFR-008 备份恢复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数据库每日全量/增量备份，对象存储定期备份；明确恢复演练流程。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NFR-009 可观测性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提供请求追踪号、应用日志、慢 SQL、任务失败和消息失败监控。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NFR-010 国际化扩展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字段、字典、时间和单位设计应为后续多语言/多时区预留，但 V1.0 以中文为主。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1F4E79"/>
          <w:sz w:val="32"/>
        </w:rPr>
        <w:t>12. 安全与审计要求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  <w:cantSplit/>
        </w:trPr>
        <w:tc>
          <w:tcPr>
            <w:tcW w:type="dxa" w:w="198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安全领域</w:t>
            </w:r>
          </w:p>
        </w:tc>
        <w:tc>
          <w:tcPr>
            <w:tcW w:type="dxa" w:w="680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具体要求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身份认证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密码采用强哈希存储；支持验证码、登录失败限制和 Token 失效；外部客户确认链接需短期令牌。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访问控制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RBAC + 数据范围；所有后端接口重新校验权限，不能仅依赖前端隐藏按钮。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数据隔离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如支持多企业，所有业务查询必须带 tenant_id 条件；禁止跨租户缓存污染。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文件安全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限制扩展名和 MIME；可接入病毒扫描；对象存储桶不公开；下载使用临时签名或后端流式输出。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接口安全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HTTPS、参数校验、防 SQL 注入、防 XSS、防 CSRF（按认证模式）、限流、防重放。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敏感信息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手机号、邮箱等按权限脱敏；日志中不得记录密码、Token 和完整敏感参数。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审计日志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记录登录、导出、下载、发布、审批、放行、作废、变更关闭和权限变更。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数据更正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对已确认、已发布、已关闭数据的更正必须通过专用流程并保留前后值。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1F4E79"/>
          <w:sz w:val="32"/>
        </w:rPr>
        <w:t>13. 测试与验收标准</w:t>
      </w: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13.1 测试范围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功能测试：覆盖正常流程、退回、撤销、作废、重复提交、并发修改和异常状态。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规则测试：逐条验证版本阻断、样品阻断、影响传播、风险计算、超时升级和关闭校验。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权限测试：不同角色、部门、项目成员和外部客户账号的数据隔离。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接口测试：参数边界、幂等、错误码、Token 过期、文件上传和大数据分页。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性能测试：常用查询、项目看板、风险批量计算、统计导出和高并发写入。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安全测试：越权、注入、XSS、非法文件、直接对象引用、重复确认链接等。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兼容性与易用性测试：PC 浏览器和小程序端关键流程。</w:t>
      </w: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13.2 核心验收用例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0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用例</w:t>
            </w:r>
          </w:p>
        </w:tc>
        <w:tc>
          <w:tcPr>
            <w:tcW w:type="dxa" w:w="181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场景</w:t>
            </w:r>
          </w:p>
        </w:tc>
        <w:tc>
          <w:tcPr>
            <w:tcW w:type="dxa" w:w="294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前置条件</w:t>
            </w:r>
          </w:p>
        </w:tc>
        <w:tc>
          <w:tcPr>
            <w:tcW w:type="dxa" w:w="300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6"/>
              </w:rPr>
              <w:t>预期结果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AC-01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旧版图纸阻断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任务引用 V1，项目当前生效为 V2</w:t>
            </w:r>
          </w:p>
        </w:tc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点击投产时系统拒绝，并提示 V2 为当前版本及处理入口。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AC-02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样品未确认预警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距投产 2 天，样品状态为待客户确认</w:t>
            </w:r>
          </w:p>
        </w:tc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自动产生高风险并通知项目经理、销售和计划。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AC-03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变更自动影响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变更修改某物料规格，该物料已有采购和生产任务</w:t>
            </w:r>
          </w:p>
        </w:tc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影响分析自动列出相关任务；批准后通知责任人并按配置暂停。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AC-04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变更关闭校验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存在一项采购影响未反馈</w:t>
            </w:r>
          </w:p>
        </w:tc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系统禁止关闭并显示未完成影响项。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AC-05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交期风险解释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多个关键任务超期且物料晚到</w:t>
            </w:r>
          </w:p>
        </w:tc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风险等级为高/严重，页面显示各项加分和建议处理动作。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AC-06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统计追溯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关闭变更时记录延期 3 天、返工 20 件</w:t>
            </w:r>
          </w:p>
        </w:tc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统计报表能按变更类型、项目和月份汇总，并可下钻到原单据。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AC-07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权限隔离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普通生产人员访问非本项目文件</w:t>
            </w:r>
          </w:p>
        </w:tc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接口返回无权限且记录越权访问日志。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AC-08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审计完整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管理员修改流程参数并发布新图纸版本</w:t>
            </w:r>
          </w:p>
        </w:tc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日志中保留操作者、时间、前后值、对象和追踪号。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13.3 验收通过条件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高优先级功能全部实现，关键流程无阻断性缺陷。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核心验收用例全部通过；高危安全问题为零，严重性能问题为零。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数据库脚本、部署文档、接口文档、用户操作手册和测试报告齐全。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试点项目能够完成从建档到交付/关闭的完整业务闭环。</w:t>
      </w: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1F4E79"/>
          <w:sz w:val="32"/>
        </w:rPr>
        <w:t>14. 实施范围与版本规划</w:t>
      </w: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14.1 V1.0 建议范围（必须完成）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组织用户权限、客户与项目建档、需求管理。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图纸/技术文件上传、版本发布、生效失效和提交阻断。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样品单、内部检验、客户确认和临期预警。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变更发起、影响分析、审批、通知、执行反馈和关闭。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采购/生产协同任务、投产校验、异常上报。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交期风险等级、消息中心、项目时间轴。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变更延期、返工、样品和交期基础统计。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PC 管理端 + 小程序端关键业务流程。</w:t>
      </w: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14.2 后续增强版本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V1.1：企业微信/钉钉集成、外部客户确认门户、二维码批量打印、更多统计看板。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V1.2：ERP/MES 对接、采购和生产进度自动同步、CAD 文件转换预览。</w:t>
      </w:r>
    </w:p>
    <w:p>
      <w:pPr>
        <w:pStyle w:val="ListBullet"/>
        <w:spacing w:after="60" w:line="288" w:lineRule="auto"/>
      </w:pPr>
      <w:r>
        <w:rPr>
          <w:rFonts w:ascii="Times New Roman" w:hAnsi="Times New Roman" w:eastAsia="宋体"/>
          <w:sz w:val="21"/>
        </w:rPr>
        <w:t>V2.0：基于历史数据的交期预测、变更相似案例推荐、图纸差异识别等 AI 增强能力。</w:t>
      </w: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14.3 建议开发里程碑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  <w:cantSplit/>
        </w:trPr>
        <w:tc>
          <w:tcPr>
            <w:tcW w:type="dxa" w:w="283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阶段</w:t>
            </w:r>
          </w:p>
        </w:tc>
        <w:tc>
          <w:tcPr>
            <w:tcW w:type="dxa" w:w="595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主要输出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阶段1：基础框架与原型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权限、项目、需求、基础字典、PC/小程序原型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阶段2：技术文件与样品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版本管理、发布审批、样品与确认、二维码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阶段3：变更与任务协同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影响分析、动态审批、通知、任务暂停/反馈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阶段4：风险与统计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风险规则、临期预警、交期/变更/返工报表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阶段5：联调与试点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安全、性能、数据初始化、试点项目和验收文档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1F4E79"/>
          <w:sz w:val="32"/>
        </w:rPr>
        <w:t>15. 软著材料展示建议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为了使软件功能具有较强完整性和辨识度，建议在软件说明书、操作截图和源代码中重点体现以下内容。该部分是产品材料组织建议，不代替正式申报要求。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展示重点</w:t>
            </w:r>
          </w:p>
        </w:tc>
        <w:tc>
          <w:tcPr>
            <w:tcW w:type="dxa" w:w="65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建议截图/说明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版本一致性控制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展示当前生效版本、任务引用版本、失效提示和阻断弹窗。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多角色协同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展示销售、技术、采购、计划、生产、质量、客户确认等不同工作台和权限。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变更影响矩阵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展示变更关联的图纸、BOM、采购、生产、样品和检验影响项。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样品确认闭环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展示多轮样品、检验结果、客户确认、驳回与再次打样。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交期风险解释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展示风险分、等级、触发规则、责任人和处置记录。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统计追溯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展示变更导致的延期、返工、报废和追加成本，并能下钻到原单据。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审计与时间轴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展示关键操作、状态变化、审批意见和前后版本。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移动现场操作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展示扫码查看、拍照上传、任务反馈和异常上报。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5"/>
      </w:tblGrid>
      <w:tr>
        <w:trPr>
          <w:cantSplit/>
        </w:trPr>
        <w:tc>
          <w:tcPr>
            <w:tcW w:type="dxa" w:w="9745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" w:hAnsi="Arial" w:eastAsia="微软雅黑"/>
                <w:b/>
                <w:color w:val="1F4E79"/>
                <w:sz w:val="21"/>
              </w:rPr>
              <w:t>避免做成“简单待办系统”</w:t>
            </w:r>
          </w:p>
          <w:p>
            <w:pPr>
              <w:spacing w:after="0" w:line="288" w:lineRule="auto"/>
            </w:pPr>
            <w:r>
              <w:rPr>
                <w:rFonts w:ascii="Times New Roman" w:hAnsi="Times New Roman" w:eastAsia="宋体"/>
                <w:sz w:val="20"/>
              </w:rPr>
              <w:t>项目、需求、技术版本、样品、变更、任务、风险和统计之间必须建立真实数据关联。系统的核心价值不是“发通知”，而是根据状态和版本自动判断能否继续执行，并保留完整证据链。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1F4E79"/>
          <w:sz w:val="32"/>
        </w:rPr>
        <w:t>附录A. 关键业务规则清单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  <w:cantSplit/>
        </w:trPr>
        <w:tc>
          <w:tcPr>
            <w:tcW w:type="dxa" w:w="1417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编号</w:t>
            </w:r>
          </w:p>
        </w:tc>
        <w:tc>
          <w:tcPr>
            <w:tcW w:type="dxa" w:w="737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业务规则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A-01</w:t>
            </w:r>
          </w:p>
        </w:tc>
        <w:tc>
          <w:tcPr>
            <w:tcW w:type="dxa" w:w="73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项目编号必须唯一，可按年份+客户简称+流水号生成。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A-02</w:t>
            </w:r>
          </w:p>
        </w:tc>
        <w:tc>
          <w:tcPr>
            <w:tcW w:type="dxa" w:w="73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目标交期不得早于项目创建日期；修改目标交期需记录原因。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A-03</w:t>
            </w:r>
          </w:p>
        </w:tc>
        <w:tc>
          <w:tcPr>
            <w:tcW w:type="dxa" w:w="73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关键需求未确认时，不允许技术包正式发布。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A-04</w:t>
            </w:r>
          </w:p>
        </w:tc>
        <w:tc>
          <w:tcPr>
            <w:tcW w:type="dxa" w:w="73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同一技术对象同一时刻只能有一个生效版本。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A-05</w:t>
            </w:r>
          </w:p>
        </w:tc>
        <w:tc>
          <w:tcPr>
            <w:tcW w:type="dxa" w:w="73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旧版本失效后，所有未完成引用任务必须进入待处理状态。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A-06</w:t>
            </w:r>
          </w:p>
        </w:tc>
        <w:tc>
          <w:tcPr>
            <w:tcW w:type="dxa" w:w="73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样品确认必须绑定样品批次和技术版本。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A-07</w:t>
            </w:r>
          </w:p>
        </w:tc>
        <w:tc>
          <w:tcPr>
            <w:tcW w:type="dxa" w:w="73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客户驳回样品时必须填写原因，并自动创建整改/重新打样任务。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A-08</w:t>
            </w:r>
          </w:p>
        </w:tc>
        <w:tc>
          <w:tcPr>
            <w:tcW w:type="dxa" w:w="73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已投产后的技术变更必须执行影响分析和审批，不允许直接替换文件。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A-09</w:t>
            </w:r>
          </w:p>
        </w:tc>
        <w:tc>
          <w:tcPr>
            <w:tcW w:type="dxa" w:w="73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高风险变更至少需要项目经理和技术负责人审批；已投产时增加生产/质量审批。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A-10</w:t>
            </w:r>
          </w:p>
        </w:tc>
        <w:tc>
          <w:tcPr>
            <w:tcW w:type="dxa" w:w="73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投产前必须通过版本、样品、关键物料和严重风险校验。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A-11</w:t>
            </w:r>
          </w:p>
        </w:tc>
        <w:tc>
          <w:tcPr>
            <w:tcW w:type="dxa" w:w="73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任务开始后若关联版本失效，任务自动提示暂停并禁止完工提交。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A-12</w:t>
            </w:r>
          </w:p>
        </w:tc>
        <w:tc>
          <w:tcPr>
            <w:tcW w:type="dxa" w:w="73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变更影响项必须逐项反馈，不允许用一条总说明代替。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A-13</w:t>
            </w:r>
          </w:p>
        </w:tc>
        <w:tc>
          <w:tcPr>
            <w:tcW w:type="dxa" w:w="73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风险关闭必须填写处理结果；自动风险关闭需满足原触发条件已解除。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A-14</w:t>
            </w:r>
          </w:p>
        </w:tc>
        <w:tc>
          <w:tcPr>
            <w:tcW w:type="dxa" w:w="73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延期和返工记录必须关联项目，可选关联变更、异常或任务。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A-15</w:t>
            </w:r>
          </w:p>
        </w:tc>
        <w:tc>
          <w:tcPr>
            <w:tcW w:type="dxa" w:w="73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已完成项目归档后默认只读，恢复编辑必须授权。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1F4E79"/>
          <w:sz w:val="32"/>
        </w:rPr>
        <w:t>附录B. 核心接口示例</w:t>
      </w: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B.1 创建变更单请求示例</w:t>
      </w:r>
    </w:p>
    <w:p>
      <w:pPr>
        <w:spacing w:after="120"/>
        <w:ind w:left="283" w:right="283"/>
      </w:pPr>
      <w:r>
        <w:rPr>
          <w:rFonts w:ascii="Consolas" w:hAnsi="Consolas" w:eastAsia="等线"/>
          <w:sz w:val="17"/>
        </w:rPr>
        <w:t>POST /api/v1/changes</w:t>
        <w:br/>
        <w:t>Content-Type: application/json</w:t>
        <w:br/>
        <w:br/>
        <w:t>{</w:t>
        <w:br/>
        <w:t xml:space="preserve">  "projectId": 10001,</w:t>
        <w:br/>
        <w:t xml:space="preserve">  "changeType": "MATERIAL_SPEC",</w:t>
        <w:br/>
        <w:t xml:space="preserve">  "source": "CUSTOMER",</w:t>
        <w:br/>
        <w:t xml:space="preserve">  "urgency": "HIGH",</w:t>
        <w:br/>
        <w:t xml:space="preserve">  "reason": "客户要求将板材厚度由2.0mm调整为2.5mm",</w:t>
        <w:br/>
        <w:t xml:space="preserve">  "beforeContent": "Q235，厚度2.0mm",</w:t>
        <w:br/>
        <w:t xml:space="preserve">  "afterContent": "Q235，厚度2.5mm",</w:t>
        <w:br/>
        <w:t xml:space="preserve">  "relatedRequirementIds": [301, 302],</w:t>
        <w:br/>
        <w:t xml:space="preserve">  "attachmentIds": [90011]</w:t>
        <w:br/>
        <w:t>}</w:t>
      </w: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B.2 版本阻断错误返回示例</w:t>
      </w:r>
    </w:p>
    <w:p>
      <w:pPr>
        <w:ind w:left="283" w:right="283"/>
      </w:pPr>
      <w:r>
        <w:rPr>
          <w:rFonts w:ascii="Consolas" w:hAnsi="Consolas" w:eastAsia="等线"/>
          <w:sz w:val="17"/>
        </w:rPr>
        <w:t>{</w:t>
        <w:br/>
        <w:t xml:space="preserve">  "code": "VERSION_MISMATCH",</w:t>
        <w:br/>
        <w:t xml:space="preserve">  "message": "当前任务引用图纸V1.2，项目生效版本为V1.3，禁止投产。",</w:t>
        <w:br/>
        <w:t xml:space="preserve">  "traceId": "9f7c2e6d2f3a4c55",</w:t>
        <w:br/>
        <w:t xml:space="preserve">  "data": {</w:t>
        <w:br/>
        <w:t xml:space="preserve">    "taskVersion": "V1.2",</w:t>
        <w:br/>
        <w:t xml:space="preserve">    "currentVersion": "V1.3",</w:t>
        <w:br/>
        <w:t xml:space="preserve">    "currentVersionId": 8123,</w:t>
        <w:br/>
        <w:t xml:space="preserve">    "action": "REBIND_OR_REVIEW"</w:t>
        <w:br/>
        <w:t xml:space="preserve">  }</w:t>
        <w:br/>
        <w:t>}</w:t>
      </w:r>
    </w:p>
    <w:p>
      <w:pPr>
        <w:pStyle w:val="Heading2"/>
        <w:keepNext/>
        <w:spacing w:before="140" w:after="100"/>
      </w:pPr>
      <w:r>
        <w:rPr>
          <w:rFonts w:ascii="Arial" w:hAnsi="Arial" w:eastAsia="微软雅黑"/>
          <w:b/>
          <w:color w:val="2F5496"/>
          <w:sz w:val="28"/>
        </w:rPr>
        <w:t>B.3 风险明细返回示例</w:t>
      </w:r>
    </w:p>
    <w:p>
      <w:pPr>
        <w:ind w:left="283" w:right="283"/>
      </w:pPr>
      <w:r>
        <w:rPr>
          <w:rFonts w:ascii="Consolas" w:hAnsi="Consolas" w:eastAsia="等线"/>
          <w:sz w:val="17"/>
        </w:rPr>
        <w:t>{</w:t>
        <w:br/>
        <w:t xml:space="preserve">  "projectId": 10001,</w:t>
        <w:br/>
        <w:t xml:space="preserve">  "riskScore": 75,</w:t>
        <w:br/>
        <w:t xml:space="preserve">  "riskLevel": "CRITICAL",</w:t>
        <w:br/>
        <w:t xml:space="preserve">  "reasons": [</w:t>
        <w:br/>
        <w:t xml:space="preserve">    {"ruleNo": "BR-004", "score": 30, "text": "距投产2天，样品未确认"},</w:t>
        <w:br/>
        <w:t xml:space="preserve">    {"ruleNo": "BR-005-MATERIAL", "score": 25, "text": "关键物料预计晚到3天"},</w:t>
        <w:br/>
        <w:t xml:space="preserve">    {"ruleNo": "BR-008", "score": 20, "text": "2项关键任务超期"}</w:t>
        <w:br/>
        <w:t xml:space="preserve">  ],</w:t>
        <w:br/>
        <w:t xml:space="preserve">  "suggestions": ["催促客户完成样品确认", "调整采购到货或生产排程"]</w:t>
        <w:br/>
        <w:t>}</w:t>
      </w: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1F4E79"/>
          <w:sz w:val="32"/>
        </w:rPr>
        <w:t>结语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本需求规格说明书将平台定位为面向非标制造订单的“版本受控、样品确认、变更传播、风险预警、数据复盘”协同系统。V1.0 通过明确的状态机、规则校验、任务关联和审计记录即可形成可落地的智慧功能，并具备较强的业务完整性、开发工作量和软件辨识度。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微软雅黑"/>
        <w:color w:val="757575"/>
        <w:sz w:val="17"/>
      </w:rPr>
      <w:t>智慧非标订单打样与变更协同平台 V1.0｜需求规格说明书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微软雅黑"/>
      <w:i/>
      <w:iCs/>
      <w:color w:val="59595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智慧非标订单打样与变更协同平台 V1.0 需求规格说明书</dc:title>
  <dc:subject>非标制造订单、图纸版本、样品确认、变更协同、交期风险</dc:subject>
  <dc:creator>项目组</dc:creator>
  <cp:keywords>非标订单, 打样, 变更管理, 图纸版本, 交期风险, Java, 小程序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