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A4F" w:rsidRPr="002E44D6" w:rsidRDefault="00C51A2C">
      <w:pPr>
        <w:rPr>
          <w:rStyle w:val="Strong"/>
          <w:sz w:val="28"/>
          <w:szCs w:val="28"/>
        </w:rPr>
      </w:pPr>
      <w:r w:rsidRPr="002E44D6">
        <w:rPr>
          <w:rStyle w:val="Strong"/>
          <w:sz w:val="28"/>
          <w:szCs w:val="28"/>
        </w:rPr>
        <w:t xml:space="preserve">Proposal </w:t>
      </w:r>
      <w:r w:rsidR="00540D29" w:rsidRPr="002E44D6">
        <w:rPr>
          <w:rStyle w:val="Strong"/>
          <w:sz w:val="28"/>
          <w:szCs w:val="28"/>
        </w:rPr>
        <w:t>for Hedge Fund Database Subscription</w:t>
      </w:r>
    </w:p>
    <w:p w:rsidR="00C51A2C" w:rsidRPr="00540D29" w:rsidRDefault="00C51A2C">
      <w:pPr>
        <w:rPr>
          <w:b/>
          <w:u w:val="single"/>
        </w:rPr>
      </w:pPr>
      <w:r w:rsidRPr="00540D29">
        <w:rPr>
          <w:b/>
          <w:u w:val="single"/>
        </w:rPr>
        <w:t>1.</w:t>
      </w:r>
      <w:r w:rsidR="00ED5C06" w:rsidRPr="00540D29">
        <w:rPr>
          <w:b/>
          <w:u w:val="single"/>
        </w:rPr>
        <w:t xml:space="preserve"> What </w:t>
      </w:r>
      <w:r w:rsidR="002C727D">
        <w:rPr>
          <w:b/>
          <w:u w:val="single"/>
        </w:rPr>
        <w:t xml:space="preserve">do </w:t>
      </w:r>
      <w:r w:rsidR="00ED5C06" w:rsidRPr="00540D29">
        <w:rPr>
          <w:b/>
          <w:u w:val="single"/>
        </w:rPr>
        <w:t>we need the database for?</w:t>
      </w:r>
    </w:p>
    <w:p w:rsidR="00D8090C" w:rsidRDefault="00407963">
      <w:r>
        <w:t>W</w:t>
      </w:r>
      <w:r w:rsidR="00B72CE4">
        <w:t xml:space="preserve">e </w:t>
      </w:r>
      <w:r>
        <w:t xml:space="preserve">want to use our </w:t>
      </w:r>
      <w:r w:rsidR="00D8090C">
        <w:t xml:space="preserve">alternative beta analysis framework </w:t>
      </w:r>
      <w:r>
        <w:t xml:space="preserve">to </w:t>
      </w:r>
      <w:r w:rsidR="00D8090C">
        <w:t xml:space="preserve">screen the broad hedge fund universe </w:t>
      </w:r>
      <w:r>
        <w:t xml:space="preserve">and then bring in </w:t>
      </w:r>
      <w:r w:rsidR="00D8090C">
        <w:t xml:space="preserve">potentially skillful managers </w:t>
      </w:r>
      <w:r>
        <w:t>for further due diligence</w:t>
      </w:r>
      <w:r w:rsidR="00ED5C06">
        <w:t xml:space="preserve">. </w:t>
      </w:r>
      <w:r w:rsidR="00B72CE4">
        <w:t>We</w:t>
      </w:r>
      <w:r w:rsidR="00ED5C06">
        <w:t xml:space="preserve"> have developed </w:t>
      </w:r>
      <w:r>
        <w:t>the capability to</w:t>
      </w:r>
      <w:r w:rsidR="00B72CE4">
        <w:t xml:space="preserve"> </w:t>
      </w:r>
      <w:r>
        <w:t>systematically analyze hedge fund</w:t>
      </w:r>
      <w:r w:rsidR="00D8090C">
        <w:t xml:space="preserve"> returns, separating </w:t>
      </w:r>
      <w:r w:rsidR="00B72CE4">
        <w:t>alpha from beta</w:t>
      </w:r>
      <w:r w:rsidR="00ED5C06">
        <w:t xml:space="preserve">. </w:t>
      </w:r>
      <w:r w:rsidR="00B72CE4">
        <w:t xml:space="preserve">The natural </w:t>
      </w:r>
      <w:r w:rsidR="00ED5C06">
        <w:t xml:space="preserve">next step </w:t>
      </w:r>
      <w:r w:rsidR="00517590">
        <w:t>is to</w:t>
      </w:r>
      <w:r w:rsidR="00B72CE4">
        <w:t xml:space="preserve"> </w:t>
      </w:r>
      <w:r w:rsidR="00D8090C">
        <w:t>feed the</w:t>
      </w:r>
      <w:r w:rsidR="00B72CE4">
        <w:t xml:space="preserve"> </w:t>
      </w:r>
      <w:r>
        <w:t xml:space="preserve">system </w:t>
      </w:r>
      <w:r w:rsidR="00D8090C">
        <w:t xml:space="preserve">with data </w:t>
      </w:r>
      <w:r w:rsidR="002C727D">
        <w:t>from</w:t>
      </w:r>
      <w:r w:rsidR="00D8090C">
        <w:t xml:space="preserve"> </w:t>
      </w:r>
      <w:r w:rsidR="00DA3DBB">
        <w:t xml:space="preserve">a </w:t>
      </w:r>
      <w:r w:rsidR="00D8090C">
        <w:t>large nu</w:t>
      </w:r>
      <w:r w:rsidR="00DA3DBB">
        <w:t>mber</w:t>
      </w:r>
      <w:r w:rsidR="00D8090C">
        <w:t xml:space="preserve"> of hedge funds.</w:t>
      </w:r>
    </w:p>
    <w:p w:rsidR="00517590" w:rsidRDefault="001704FD">
      <w:r>
        <w:t>Therefore we need to subscribe one or more hedge fund databases.</w:t>
      </w:r>
    </w:p>
    <w:p w:rsidR="00517590" w:rsidRPr="00540D29" w:rsidRDefault="00517590" w:rsidP="00517590">
      <w:pPr>
        <w:rPr>
          <w:b/>
          <w:u w:val="single"/>
        </w:rPr>
      </w:pPr>
      <w:r w:rsidRPr="00540D29">
        <w:rPr>
          <w:b/>
          <w:u w:val="single"/>
        </w:rPr>
        <w:t>2. Main products on the market</w:t>
      </w:r>
    </w:p>
    <w:p w:rsidR="00517590" w:rsidRDefault="001704FD">
      <w:r>
        <w:t>Following are the commonly used hedge fund databases:</w:t>
      </w:r>
    </w:p>
    <w:p w:rsidR="002C727D" w:rsidRDefault="002C727D" w:rsidP="00B17E82">
      <w:pPr>
        <w:pStyle w:val="ListParagraph"/>
        <w:numPr>
          <w:ilvl w:val="0"/>
          <w:numId w:val="3"/>
        </w:numPr>
      </w:pPr>
      <w:r>
        <w:t>HFR database</w:t>
      </w:r>
    </w:p>
    <w:p w:rsidR="00B17E82" w:rsidRDefault="00B17E82" w:rsidP="00B17E82">
      <w:pPr>
        <w:pStyle w:val="ListParagraph"/>
        <w:numPr>
          <w:ilvl w:val="0"/>
          <w:numId w:val="3"/>
        </w:numPr>
      </w:pPr>
      <w:proofErr w:type="spellStart"/>
      <w:r>
        <w:t>BarclayHedge</w:t>
      </w:r>
      <w:proofErr w:type="spellEnd"/>
      <w:r>
        <w:t xml:space="preserve"> HF Database</w:t>
      </w:r>
    </w:p>
    <w:p w:rsidR="00B17E82" w:rsidRDefault="00B17E82" w:rsidP="00B17E82">
      <w:pPr>
        <w:pStyle w:val="ListParagraph"/>
        <w:numPr>
          <w:ilvl w:val="0"/>
          <w:numId w:val="3"/>
        </w:numPr>
      </w:pPr>
      <w:r>
        <w:t xml:space="preserve">Lipper Hedge Fund Database (TASS) </w:t>
      </w:r>
    </w:p>
    <w:p w:rsidR="00B17E82" w:rsidRDefault="00B17E82" w:rsidP="00B17E82">
      <w:pPr>
        <w:pStyle w:val="ListParagraph"/>
        <w:numPr>
          <w:ilvl w:val="0"/>
          <w:numId w:val="3"/>
        </w:numPr>
      </w:pPr>
      <w:r>
        <w:t>Morningstar CISDM Hedge Fund database</w:t>
      </w:r>
    </w:p>
    <w:p w:rsidR="00B17E82" w:rsidRDefault="00B17E82" w:rsidP="00B17E82">
      <w:pPr>
        <w:pStyle w:val="ListParagraph"/>
        <w:numPr>
          <w:ilvl w:val="0"/>
          <w:numId w:val="3"/>
        </w:numPr>
      </w:pPr>
      <w:proofErr w:type="spellStart"/>
      <w:r>
        <w:t>Preqin</w:t>
      </w:r>
      <w:proofErr w:type="spellEnd"/>
      <w:r>
        <w:t xml:space="preserve"> Hedge Fund database</w:t>
      </w:r>
    </w:p>
    <w:p w:rsidR="00B17E82" w:rsidRDefault="00B17E82" w:rsidP="00B17E82">
      <w:pPr>
        <w:pStyle w:val="ListParagraph"/>
        <w:numPr>
          <w:ilvl w:val="0"/>
          <w:numId w:val="3"/>
        </w:numPr>
      </w:pPr>
      <w:proofErr w:type="spellStart"/>
      <w:r>
        <w:t>Eurekahedge</w:t>
      </w:r>
      <w:proofErr w:type="spellEnd"/>
      <w:r>
        <w:t xml:space="preserve"> hedge fund database</w:t>
      </w:r>
    </w:p>
    <w:p w:rsidR="00B17E82" w:rsidRDefault="00B17E82" w:rsidP="00B17E82">
      <w:pPr>
        <w:pStyle w:val="ListParagraph"/>
        <w:numPr>
          <w:ilvl w:val="0"/>
          <w:numId w:val="3"/>
        </w:numPr>
      </w:pPr>
      <w:proofErr w:type="spellStart"/>
      <w:r>
        <w:t>HedgeFund</w:t>
      </w:r>
      <w:proofErr w:type="spellEnd"/>
      <w:r>
        <w:t xml:space="preserve"> Intelligence database</w:t>
      </w:r>
    </w:p>
    <w:p w:rsidR="00B17E82" w:rsidRDefault="00B17E82" w:rsidP="00B17E82"/>
    <w:p w:rsidR="008511D7" w:rsidRDefault="001704FD" w:rsidP="00B17E82">
      <w:r>
        <w:t>T</w:t>
      </w:r>
      <w:r w:rsidR="008511D7">
        <w:t>here is no legal requirement</w:t>
      </w:r>
      <w:r>
        <w:t xml:space="preserve"> for hedge funds</w:t>
      </w:r>
      <w:r w:rsidR="008511D7">
        <w:t xml:space="preserve"> to report per</w:t>
      </w:r>
      <w:r>
        <w:t>formance to the general public. R</w:t>
      </w:r>
      <w:r w:rsidR="008511D7">
        <w:t xml:space="preserve">eporting to a hedge fund database is </w:t>
      </w:r>
      <w:r>
        <w:t>completely voluntary for the hedge fund managers. T</w:t>
      </w:r>
      <w:r w:rsidR="008511D7">
        <w:t>here are lots of differences in funds coverage, geographic cov</w:t>
      </w:r>
      <w:r>
        <w:t xml:space="preserve">erage, strategy, and AUM reporting </w:t>
      </w:r>
      <w:r w:rsidR="008511D7">
        <w:t xml:space="preserve">among </w:t>
      </w:r>
      <w:r>
        <w:t>the database products.</w:t>
      </w:r>
    </w:p>
    <w:p w:rsidR="00B17E82" w:rsidRPr="00540D29" w:rsidRDefault="00B17E82" w:rsidP="00B17E82">
      <w:pPr>
        <w:rPr>
          <w:b/>
          <w:u w:val="single"/>
        </w:rPr>
      </w:pPr>
      <w:r w:rsidRPr="00540D29">
        <w:rPr>
          <w:b/>
          <w:u w:val="single"/>
        </w:rPr>
        <w:t xml:space="preserve">3. </w:t>
      </w:r>
      <w:r w:rsidR="00483412">
        <w:rPr>
          <w:b/>
          <w:u w:val="single"/>
        </w:rPr>
        <w:t>Top Candidates: HFR, TASS, Morningstar</w:t>
      </w:r>
    </w:p>
    <w:p w:rsidR="00B17E82" w:rsidRDefault="00483412" w:rsidP="00B17E82">
      <w:r>
        <w:t xml:space="preserve">Among the various databases, </w:t>
      </w:r>
      <w:r w:rsidR="008511D7">
        <w:t xml:space="preserve">HFR database, TASS database, and Morningstar database </w:t>
      </w:r>
      <w:r>
        <w:t>are the most</w:t>
      </w:r>
      <w:r w:rsidR="008511D7">
        <w:t xml:space="preserve"> wide</w:t>
      </w:r>
      <w:r>
        <w:t>ly acknowledged and used products</w:t>
      </w:r>
      <w:r w:rsidR="008511D7">
        <w:t>.</w:t>
      </w:r>
    </w:p>
    <w:p w:rsidR="000D5B25" w:rsidRPr="00A649B0" w:rsidRDefault="000D5B25" w:rsidP="003D055E">
      <w:pPr>
        <w:pStyle w:val="ListParagraph"/>
        <w:numPr>
          <w:ilvl w:val="0"/>
          <w:numId w:val="4"/>
        </w:numPr>
        <w:rPr>
          <w:b/>
        </w:rPr>
      </w:pPr>
      <w:r w:rsidRPr="00A649B0">
        <w:rPr>
          <w:b/>
        </w:rPr>
        <w:t>HFR database</w:t>
      </w:r>
    </w:p>
    <w:p w:rsidR="000D5B25" w:rsidRDefault="000D5B25" w:rsidP="003D055E">
      <w:pPr>
        <w:ind w:left="360"/>
      </w:pPr>
      <w:r>
        <w:t xml:space="preserve">Hedge Fund Research, Inc. (HFR) is the global leader in the alternative investment research industry. Established in 1992, HFR specializes in the areas of indexation and analysis of hedge funds. </w:t>
      </w:r>
      <w:r w:rsidRPr="000D5B25">
        <w:t>The licensed/redistributed HFR Database, currently comprise</w:t>
      </w:r>
      <w:r w:rsidR="002C727D">
        <w:t>s</w:t>
      </w:r>
      <w:r w:rsidRPr="000D5B25">
        <w:t xml:space="preserve"> </w:t>
      </w:r>
      <w:r w:rsidR="00D8090C">
        <w:t xml:space="preserve">over </w:t>
      </w:r>
      <w:r w:rsidR="003D055E">
        <w:t>7</w:t>
      </w:r>
      <w:r w:rsidR="00D8090C">
        <w:t>,000</w:t>
      </w:r>
      <w:r w:rsidRPr="000D5B25">
        <w:t xml:space="preserve"> funds and fund of funds</w:t>
      </w:r>
      <w:r>
        <w:t xml:space="preserve">, while </w:t>
      </w:r>
      <w:r w:rsidR="002C727D">
        <w:t xml:space="preserve">the </w:t>
      </w:r>
      <w:r w:rsidRPr="000D5B25">
        <w:t xml:space="preserve">HFR Dead Fund Database </w:t>
      </w:r>
      <w:r w:rsidR="007943FA" w:rsidRPr="000D5B25">
        <w:t>includes</w:t>
      </w:r>
      <w:r w:rsidRPr="000D5B25">
        <w:t xml:space="preserve"> over 15,000 funds. HFR Database is the foundation for the HFRI Indices, the industry's most widely utilized benchmark of hedge fund performance information.</w:t>
      </w:r>
    </w:p>
    <w:p w:rsidR="000D5B25" w:rsidRPr="00A649B0" w:rsidRDefault="00A649B0" w:rsidP="003D055E">
      <w:pPr>
        <w:pStyle w:val="ListParagraph"/>
        <w:numPr>
          <w:ilvl w:val="0"/>
          <w:numId w:val="4"/>
        </w:numPr>
        <w:rPr>
          <w:b/>
        </w:rPr>
      </w:pPr>
      <w:r>
        <w:rPr>
          <w:b/>
        </w:rPr>
        <w:t xml:space="preserve">Lipper </w:t>
      </w:r>
      <w:r w:rsidR="000D5B25" w:rsidRPr="00A649B0">
        <w:rPr>
          <w:b/>
        </w:rPr>
        <w:t>TASS database</w:t>
      </w:r>
    </w:p>
    <w:p w:rsidR="000D5B25" w:rsidRDefault="000D5B25" w:rsidP="003D055E">
      <w:pPr>
        <w:ind w:left="360"/>
      </w:pPr>
      <w:r>
        <w:t xml:space="preserve">Lipper, a Thomson Reuters company, is a global leader in supplying fund information, analytical tools, and commentary. Their global database has been a reliable source of timely, high-quality hedge fund data for over 20 years. Lipper Hedge Fund Database, also called the TASS database, offers quantitative performance data on </w:t>
      </w:r>
      <w:r w:rsidR="00D8090C">
        <w:t>over 5,000</w:t>
      </w:r>
      <w:r>
        <w:t xml:space="preserve"> actively reporting </w:t>
      </w:r>
      <w:r w:rsidR="002C727D">
        <w:t>h</w:t>
      </w:r>
      <w:r>
        <w:t xml:space="preserve">edge funds and </w:t>
      </w:r>
      <w:r w:rsidR="002C727D">
        <w:t>f</w:t>
      </w:r>
      <w:r>
        <w:t>u</w:t>
      </w:r>
      <w:r w:rsidR="003D055E">
        <w:t xml:space="preserve">nd of </w:t>
      </w:r>
      <w:r w:rsidR="002C727D">
        <w:t>h</w:t>
      </w:r>
      <w:r w:rsidR="003D055E">
        <w:t xml:space="preserve">edge </w:t>
      </w:r>
      <w:r w:rsidR="002C727D">
        <w:t>f</w:t>
      </w:r>
      <w:r w:rsidR="003D055E">
        <w:t xml:space="preserve">unds, </w:t>
      </w:r>
      <w:r w:rsidR="00D8090C">
        <w:t xml:space="preserve">plus over </w:t>
      </w:r>
      <w:r w:rsidR="007943FA">
        <w:t>16,</w:t>
      </w:r>
      <w:r w:rsidR="00D8090C">
        <w:t>000</w:t>
      </w:r>
      <w:r>
        <w:t xml:space="preserve"> graveyard funds that have closed, liquidated or stopped reporting for any reason.</w:t>
      </w:r>
    </w:p>
    <w:p w:rsidR="00634B35" w:rsidRDefault="00634B35" w:rsidP="003D055E">
      <w:pPr>
        <w:ind w:left="360"/>
      </w:pPr>
    </w:p>
    <w:p w:rsidR="000D5B25" w:rsidRPr="00A649B0" w:rsidRDefault="000D5B25" w:rsidP="003D055E">
      <w:pPr>
        <w:pStyle w:val="ListParagraph"/>
        <w:numPr>
          <w:ilvl w:val="0"/>
          <w:numId w:val="4"/>
        </w:numPr>
        <w:rPr>
          <w:b/>
        </w:rPr>
      </w:pPr>
      <w:r w:rsidRPr="00A649B0">
        <w:rPr>
          <w:b/>
        </w:rPr>
        <w:lastRenderedPageBreak/>
        <w:t>Morningstar database</w:t>
      </w:r>
    </w:p>
    <w:p w:rsidR="000D5B25" w:rsidRDefault="000D5B25" w:rsidP="003D055E">
      <w:pPr>
        <w:ind w:left="360"/>
      </w:pPr>
      <w:r w:rsidRPr="000D5B25">
        <w:t xml:space="preserve">Morningstar, Inc. is a leading provider of independent investment research in North America, Europe, Australia, and Asia. Morningstar’s hedge fund database contains data on </w:t>
      </w:r>
      <w:r w:rsidR="00DA3DBB">
        <w:t xml:space="preserve">over </w:t>
      </w:r>
      <w:r w:rsidR="003D055E">
        <w:t>8,0</w:t>
      </w:r>
      <w:r w:rsidR="00DA3DBB">
        <w:t>00 actively reporting funds</w:t>
      </w:r>
      <w:r w:rsidRPr="000D5B25">
        <w:t>. Additionally, Morningstar offers historical information on more than 12,000 dead hedge funds.</w:t>
      </w:r>
    </w:p>
    <w:p w:rsidR="00B17E82" w:rsidRPr="00540D29" w:rsidRDefault="00B17E82" w:rsidP="00B17E82">
      <w:pPr>
        <w:rPr>
          <w:b/>
          <w:u w:val="single"/>
        </w:rPr>
      </w:pPr>
      <w:r w:rsidRPr="00540D29">
        <w:rPr>
          <w:b/>
          <w:u w:val="single"/>
        </w:rPr>
        <w:t xml:space="preserve">4. </w:t>
      </w:r>
      <w:r w:rsidR="00680467">
        <w:rPr>
          <w:b/>
          <w:u w:val="single"/>
        </w:rPr>
        <w:t>Recommendation: Subscribing</w:t>
      </w:r>
      <w:r w:rsidRPr="00540D29">
        <w:rPr>
          <w:b/>
          <w:u w:val="single"/>
        </w:rPr>
        <w:t xml:space="preserve"> </w:t>
      </w:r>
      <w:r w:rsidR="002C727D">
        <w:rPr>
          <w:b/>
          <w:u w:val="single"/>
        </w:rPr>
        <w:t xml:space="preserve">to </w:t>
      </w:r>
      <w:r w:rsidRPr="00540D29">
        <w:rPr>
          <w:b/>
          <w:u w:val="single"/>
        </w:rPr>
        <w:t>HFR</w:t>
      </w:r>
      <w:r w:rsidR="00680467">
        <w:rPr>
          <w:b/>
          <w:u w:val="single"/>
        </w:rPr>
        <w:t xml:space="preserve"> Database</w:t>
      </w:r>
    </w:p>
    <w:p w:rsidR="003D055E" w:rsidRDefault="003D055E" w:rsidP="00B17E82">
      <w:r>
        <w:t xml:space="preserve">We compared the above three </w:t>
      </w:r>
      <w:r w:rsidR="00DA3DBB">
        <w:t>“</w:t>
      </w:r>
      <w:r>
        <w:t>finalists</w:t>
      </w:r>
      <w:r w:rsidR="00DA3DBB">
        <w:t>”</w:t>
      </w:r>
      <w:r>
        <w:t xml:space="preserve"> based on </w:t>
      </w:r>
      <w:r w:rsidR="00DA3DBB">
        <w:t>number of managers, active funds</w:t>
      </w:r>
      <w:r>
        <w:t xml:space="preserve"> </w:t>
      </w:r>
      <w:r w:rsidR="00DA3DBB">
        <w:t xml:space="preserve">and </w:t>
      </w:r>
      <w:r>
        <w:t>dead funds, coverage of existing managers in our portfolio, pricing, AUM distribution, region distribution</w:t>
      </w:r>
      <w:r w:rsidR="00DA3DBB">
        <w:t>,</w:t>
      </w:r>
      <w:r>
        <w:t xml:space="preserve"> and s</w:t>
      </w:r>
      <w:r w:rsidR="00DA3DBB">
        <w:t xml:space="preserve">trategies distribution. Taking </w:t>
      </w:r>
      <w:r>
        <w:t xml:space="preserve">all of these aspects into consideration, we </w:t>
      </w:r>
      <w:r w:rsidR="00DA3DBB">
        <w:t xml:space="preserve">believe the </w:t>
      </w:r>
      <w:r>
        <w:t xml:space="preserve">HFR databases </w:t>
      </w:r>
      <w:r w:rsidR="00DA3DBB">
        <w:t>is the best choice</w:t>
      </w:r>
      <w:r>
        <w:t xml:space="preserve">. </w:t>
      </w:r>
    </w:p>
    <w:p w:rsidR="003D055E" w:rsidRDefault="00DA3DBB" w:rsidP="00B17E82">
      <w:r>
        <w:t xml:space="preserve">Key reasons </w:t>
      </w:r>
      <w:r w:rsidR="003D055E">
        <w:t>to choose HFR</w:t>
      </w:r>
      <w:r>
        <w:t>:</w:t>
      </w:r>
    </w:p>
    <w:p w:rsidR="00112F10" w:rsidRPr="00A649B0" w:rsidRDefault="00DA3DBB" w:rsidP="00032A9A">
      <w:pPr>
        <w:pStyle w:val="ListParagraph"/>
        <w:numPr>
          <w:ilvl w:val="0"/>
          <w:numId w:val="4"/>
        </w:numPr>
        <w:rPr>
          <w:b/>
        </w:rPr>
      </w:pPr>
      <w:r>
        <w:rPr>
          <w:b/>
        </w:rPr>
        <w:t>More coverage of $500mm+ managers</w:t>
      </w:r>
    </w:p>
    <w:p w:rsidR="006722E2" w:rsidRDefault="00147D4C" w:rsidP="00032A9A">
      <w:pPr>
        <w:ind w:left="360"/>
      </w:pPr>
      <w:r>
        <w:t>The majority of</w:t>
      </w:r>
      <w:r w:rsidR="00DA3DBB">
        <w:t xml:space="preserve"> </w:t>
      </w:r>
      <w:r>
        <w:t>hedge fund managers</w:t>
      </w:r>
      <w:r w:rsidR="00DA3DBB">
        <w:t xml:space="preserve"> reporting to those databases have lower than $100mm AUM. Those “micro-cap” managers are not suitable for PRIM as our typical investment size is $100mm or more. W</w:t>
      </w:r>
      <w:r w:rsidR="006722E2">
        <w:t xml:space="preserve">e noticed that HFR database </w:t>
      </w:r>
      <w:r w:rsidR="00634B35">
        <w:t>covers</w:t>
      </w:r>
      <w:r>
        <w:t xml:space="preserve"> </w:t>
      </w:r>
      <w:r w:rsidR="00634B35">
        <w:t>the highest</w:t>
      </w:r>
      <w:r>
        <w:t xml:space="preserve"> </w:t>
      </w:r>
      <w:r w:rsidR="00634B35">
        <w:t xml:space="preserve">number </w:t>
      </w:r>
      <w:r>
        <w:t xml:space="preserve">of managers with AUM of $500mm+, which is the most suitable manager size for PRIM. </w:t>
      </w:r>
    </w:p>
    <w:p w:rsidR="00147D4C" w:rsidRPr="007154F3" w:rsidRDefault="00147D4C" w:rsidP="00147D4C">
      <w:pPr>
        <w:pStyle w:val="ListParagraph"/>
        <w:numPr>
          <w:ilvl w:val="0"/>
          <w:numId w:val="4"/>
        </w:numPr>
        <w:rPr>
          <w:rFonts w:asciiTheme="minorHAnsi" w:hAnsiTheme="minorHAnsi" w:cstheme="minorBidi"/>
          <w:b/>
        </w:rPr>
      </w:pPr>
      <w:r w:rsidRPr="00A649B0">
        <w:rPr>
          <w:b/>
        </w:rPr>
        <w:t xml:space="preserve">Only HFR provide constituent data for the </w:t>
      </w:r>
      <w:r>
        <w:rPr>
          <w:b/>
        </w:rPr>
        <w:t>HFR Indices</w:t>
      </w:r>
    </w:p>
    <w:p w:rsidR="00147D4C" w:rsidRDefault="00147D4C" w:rsidP="00147D4C">
      <w:pPr>
        <w:ind w:left="360"/>
      </w:pPr>
      <w:r w:rsidRPr="007154F3">
        <w:t>HFR Database is the foundation for the HFRI Indices, the industry's most widely utilized benchmark of hedge fund performance information. HFR Database contains complete, enhanced HFR Index constituent tables. Subscribers can drill down into components of the Industry's most widely-sourced performance benchmarks for further analysis.</w:t>
      </w:r>
      <w:r>
        <w:t xml:space="preserve">  </w:t>
      </w:r>
    </w:p>
    <w:p w:rsidR="006722E2" w:rsidRPr="00A649B0" w:rsidRDefault="008D4927" w:rsidP="00147D4C">
      <w:pPr>
        <w:pStyle w:val="ListParagraph"/>
        <w:numPr>
          <w:ilvl w:val="0"/>
          <w:numId w:val="4"/>
        </w:numPr>
        <w:rPr>
          <w:b/>
        </w:rPr>
      </w:pPr>
      <w:r>
        <w:rPr>
          <w:b/>
        </w:rPr>
        <w:t xml:space="preserve">Healthy distribution by </w:t>
      </w:r>
      <w:r w:rsidR="006722E2" w:rsidRPr="00A649B0">
        <w:rPr>
          <w:b/>
        </w:rPr>
        <w:t>strateg</w:t>
      </w:r>
      <w:r>
        <w:rPr>
          <w:b/>
        </w:rPr>
        <w:t>y type</w:t>
      </w:r>
    </w:p>
    <w:p w:rsidR="006722E2" w:rsidRDefault="008D4927" w:rsidP="00032A9A">
      <w:pPr>
        <w:ind w:left="360"/>
      </w:pPr>
      <w:r>
        <w:t>HFR has the lowest % in Fund of Funds, which is the least useful</w:t>
      </w:r>
      <w:r w:rsidR="002C727D">
        <w:t xml:space="preserve"> category</w:t>
      </w:r>
      <w:bookmarkStart w:id="0" w:name="_GoBack"/>
      <w:bookmarkEnd w:id="0"/>
      <w:r>
        <w:t xml:space="preserve"> for PRIM. HFR also has the highest % in Relative Value and Macro </w:t>
      </w:r>
      <w:r w:rsidR="00ED09E1">
        <w:t>funds, which are the most diversifying strategy types to the PRIT fund.</w:t>
      </w:r>
    </w:p>
    <w:p w:rsidR="002E44D6" w:rsidRDefault="002E44D6" w:rsidP="007154F3">
      <w:pPr>
        <w:ind w:left="360"/>
      </w:pPr>
    </w:p>
    <w:p w:rsidR="00634B35" w:rsidRDefault="00634B35">
      <w:pPr>
        <w:rPr>
          <w:b/>
          <w:u w:val="single"/>
        </w:rPr>
      </w:pPr>
      <w:r>
        <w:rPr>
          <w:b/>
          <w:u w:val="single"/>
        </w:rPr>
        <w:br w:type="page"/>
      </w:r>
    </w:p>
    <w:p w:rsidR="002E44D6" w:rsidRPr="00540D29" w:rsidRDefault="002E44D6" w:rsidP="00952952">
      <w:pPr>
        <w:rPr>
          <w:b/>
          <w:u w:val="single"/>
        </w:rPr>
      </w:pPr>
      <w:r w:rsidRPr="00540D29">
        <w:rPr>
          <w:b/>
          <w:u w:val="single"/>
        </w:rPr>
        <w:lastRenderedPageBreak/>
        <w:t>Appendix</w:t>
      </w:r>
    </w:p>
    <w:p w:rsidR="002E44D6" w:rsidRPr="002E44D6" w:rsidRDefault="002E44D6" w:rsidP="002E44D6">
      <w:pPr>
        <w:ind w:left="360"/>
        <w:rPr>
          <w:b/>
        </w:rPr>
      </w:pPr>
      <w:r w:rsidRPr="002E44D6">
        <w:rPr>
          <w:b/>
        </w:rPr>
        <w:t>Managers and Active Funds</w:t>
      </w:r>
    </w:p>
    <w:p w:rsidR="002E44D6" w:rsidRDefault="002E44D6" w:rsidP="002E44D6">
      <w:pPr>
        <w:ind w:left="360"/>
        <w:rPr>
          <w:b/>
        </w:rPr>
      </w:pPr>
      <w:r>
        <w:rPr>
          <w:b/>
          <w:noProof/>
        </w:rPr>
        <w:drawing>
          <wp:inline distT="0" distB="0" distL="0" distR="0" wp14:anchorId="3EE0B55A">
            <wp:extent cx="5541264" cy="2651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41264" cy="2651760"/>
                    </a:xfrm>
                    <a:prstGeom prst="rect">
                      <a:avLst/>
                    </a:prstGeom>
                    <a:noFill/>
                  </pic:spPr>
                </pic:pic>
              </a:graphicData>
            </a:graphic>
          </wp:inline>
        </w:drawing>
      </w:r>
    </w:p>
    <w:p w:rsidR="002E44D6" w:rsidRPr="002E44D6" w:rsidRDefault="002E44D6" w:rsidP="002E44D6">
      <w:pPr>
        <w:ind w:left="360"/>
        <w:rPr>
          <w:b/>
        </w:rPr>
      </w:pPr>
      <w:r w:rsidRPr="002E44D6">
        <w:rPr>
          <w:b/>
        </w:rPr>
        <w:t>Dead Funds</w:t>
      </w:r>
    </w:p>
    <w:p w:rsidR="002E44D6" w:rsidRDefault="002E44D6" w:rsidP="002E44D6">
      <w:pPr>
        <w:ind w:left="360"/>
        <w:rPr>
          <w:b/>
        </w:rPr>
      </w:pPr>
      <w:r>
        <w:rPr>
          <w:b/>
          <w:noProof/>
        </w:rPr>
        <w:drawing>
          <wp:inline distT="0" distB="0" distL="0" distR="0" wp14:anchorId="19F8E042">
            <wp:extent cx="5605272" cy="235915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05272" cy="2359152"/>
                    </a:xfrm>
                    <a:prstGeom prst="rect">
                      <a:avLst/>
                    </a:prstGeom>
                    <a:noFill/>
                  </pic:spPr>
                </pic:pic>
              </a:graphicData>
            </a:graphic>
          </wp:inline>
        </w:drawing>
      </w:r>
    </w:p>
    <w:p w:rsidR="00634B35" w:rsidRDefault="00634B35">
      <w:pPr>
        <w:rPr>
          <w:b/>
        </w:rPr>
      </w:pPr>
      <w:r>
        <w:rPr>
          <w:b/>
        </w:rPr>
        <w:br w:type="page"/>
      </w:r>
    </w:p>
    <w:p w:rsidR="002E44D6" w:rsidRPr="002E44D6" w:rsidRDefault="002E44D6" w:rsidP="002E44D6">
      <w:pPr>
        <w:ind w:left="360"/>
        <w:rPr>
          <w:b/>
        </w:rPr>
      </w:pPr>
      <w:r w:rsidRPr="002E44D6">
        <w:rPr>
          <w:b/>
        </w:rPr>
        <w:lastRenderedPageBreak/>
        <w:t>Coverage of existing managers</w:t>
      </w:r>
    </w:p>
    <w:p w:rsidR="002E44D6" w:rsidRDefault="002E44D6" w:rsidP="002E44D6">
      <w:pPr>
        <w:ind w:left="360"/>
        <w:rPr>
          <w:b/>
        </w:rPr>
      </w:pPr>
      <w:r>
        <w:rPr>
          <w:b/>
          <w:noProof/>
        </w:rPr>
        <w:drawing>
          <wp:inline distT="0" distB="0" distL="0" distR="0" wp14:anchorId="789530F0">
            <wp:extent cx="5577840" cy="235000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77840" cy="2350008"/>
                    </a:xfrm>
                    <a:prstGeom prst="rect">
                      <a:avLst/>
                    </a:prstGeom>
                    <a:noFill/>
                  </pic:spPr>
                </pic:pic>
              </a:graphicData>
            </a:graphic>
          </wp:inline>
        </w:drawing>
      </w:r>
    </w:p>
    <w:p w:rsidR="002E44D6" w:rsidRDefault="002E44D6" w:rsidP="002E44D6">
      <w:pPr>
        <w:ind w:left="360"/>
        <w:rPr>
          <w:b/>
        </w:rPr>
      </w:pPr>
      <w:r>
        <w:rPr>
          <w:b/>
          <w:noProof/>
        </w:rPr>
        <w:drawing>
          <wp:inline distT="0" distB="0" distL="0" distR="0" wp14:anchorId="700A2B8A">
            <wp:extent cx="4892040" cy="339242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92040" cy="3392424"/>
                    </a:xfrm>
                    <a:prstGeom prst="rect">
                      <a:avLst/>
                    </a:prstGeom>
                    <a:noFill/>
                  </pic:spPr>
                </pic:pic>
              </a:graphicData>
            </a:graphic>
          </wp:inline>
        </w:drawing>
      </w:r>
    </w:p>
    <w:p w:rsidR="00634B35" w:rsidRDefault="00634B35">
      <w:pPr>
        <w:rPr>
          <w:b/>
        </w:rPr>
      </w:pPr>
      <w:r>
        <w:rPr>
          <w:b/>
        </w:rPr>
        <w:br w:type="page"/>
      </w:r>
    </w:p>
    <w:p w:rsidR="002E44D6" w:rsidRPr="002E44D6" w:rsidRDefault="002E44D6" w:rsidP="002E44D6">
      <w:pPr>
        <w:ind w:left="360"/>
        <w:rPr>
          <w:b/>
        </w:rPr>
      </w:pPr>
      <w:r w:rsidRPr="002E44D6">
        <w:rPr>
          <w:b/>
        </w:rPr>
        <w:lastRenderedPageBreak/>
        <w:t>Managers Overlap</w:t>
      </w:r>
    </w:p>
    <w:p w:rsidR="002E44D6" w:rsidRDefault="002E44D6" w:rsidP="002E44D6">
      <w:pPr>
        <w:ind w:left="360"/>
        <w:rPr>
          <w:b/>
        </w:rPr>
      </w:pPr>
      <w:r>
        <w:rPr>
          <w:b/>
          <w:noProof/>
        </w:rPr>
        <w:drawing>
          <wp:inline distT="0" distB="0" distL="0" distR="0" wp14:anchorId="555607DD">
            <wp:extent cx="5251502" cy="3000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9118"/>
                    <a:stretch/>
                  </pic:blipFill>
                  <pic:spPr bwMode="auto">
                    <a:xfrm>
                      <a:off x="0" y="0"/>
                      <a:ext cx="5277725" cy="3015357"/>
                    </a:xfrm>
                    <a:prstGeom prst="rect">
                      <a:avLst/>
                    </a:prstGeom>
                    <a:noFill/>
                    <a:ln>
                      <a:noFill/>
                    </a:ln>
                    <a:extLst>
                      <a:ext uri="{53640926-AAD7-44D8-BBD7-CCE9431645EC}">
                        <a14:shadowObscured xmlns:a14="http://schemas.microsoft.com/office/drawing/2010/main"/>
                      </a:ext>
                    </a:extLst>
                  </pic:spPr>
                </pic:pic>
              </a:graphicData>
            </a:graphic>
          </wp:inline>
        </w:drawing>
      </w:r>
    </w:p>
    <w:p w:rsidR="002E44D6" w:rsidRDefault="002E44D6" w:rsidP="002E44D6">
      <w:pPr>
        <w:ind w:left="360"/>
        <w:rPr>
          <w:b/>
        </w:rPr>
      </w:pPr>
      <w:r w:rsidRPr="002E44D6">
        <w:rPr>
          <w:b/>
        </w:rPr>
        <w:t>Pricing</w:t>
      </w:r>
    </w:p>
    <w:p w:rsidR="002E44D6" w:rsidRDefault="002E44D6" w:rsidP="002E44D6">
      <w:pPr>
        <w:ind w:left="360"/>
        <w:rPr>
          <w:b/>
        </w:rPr>
      </w:pPr>
      <w:r>
        <w:rPr>
          <w:b/>
          <w:noProof/>
        </w:rPr>
        <w:drawing>
          <wp:inline distT="0" distB="0" distL="0" distR="0" wp14:anchorId="6B58F6D3">
            <wp:extent cx="5257800" cy="1965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7800" cy="1965960"/>
                    </a:xfrm>
                    <a:prstGeom prst="rect">
                      <a:avLst/>
                    </a:prstGeom>
                    <a:noFill/>
                  </pic:spPr>
                </pic:pic>
              </a:graphicData>
            </a:graphic>
          </wp:inline>
        </w:drawing>
      </w:r>
    </w:p>
    <w:p w:rsidR="002E44D6" w:rsidRDefault="002E44D6" w:rsidP="002E44D6">
      <w:pPr>
        <w:ind w:left="360"/>
        <w:rPr>
          <w:b/>
        </w:rPr>
      </w:pPr>
      <w:r>
        <w:rPr>
          <w:b/>
        </w:rPr>
        <w:t>AUM distribution</w:t>
      </w:r>
    </w:p>
    <w:p w:rsidR="002E44D6" w:rsidRDefault="002E44D6" w:rsidP="002E44D6">
      <w:pPr>
        <w:ind w:left="360"/>
        <w:rPr>
          <w:b/>
        </w:rPr>
      </w:pPr>
      <w:r>
        <w:rPr>
          <w:b/>
          <w:noProof/>
        </w:rPr>
        <w:drawing>
          <wp:inline distT="0" distB="0" distL="0" distR="0" wp14:anchorId="5179ACFE">
            <wp:extent cx="5623560" cy="21488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23560" cy="2148840"/>
                    </a:xfrm>
                    <a:prstGeom prst="rect">
                      <a:avLst/>
                    </a:prstGeom>
                    <a:noFill/>
                  </pic:spPr>
                </pic:pic>
              </a:graphicData>
            </a:graphic>
          </wp:inline>
        </w:drawing>
      </w:r>
    </w:p>
    <w:p w:rsidR="002E44D6" w:rsidRDefault="002E44D6" w:rsidP="002E44D6">
      <w:pPr>
        <w:ind w:left="360"/>
        <w:rPr>
          <w:b/>
        </w:rPr>
      </w:pPr>
      <w:r>
        <w:rPr>
          <w:b/>
        </w:rPr>
        <w:lastRenderedPageBreak/>
        <w:t>Strategies distribution</w:t>
      </w:r>
    </w:p>
    <w:p w:rsidR="00E94151" w:rsidRDefault="00A65DCC" w:rsidP="002E44D6">
      <w:pPr>
        <w:ind w:left="360"/>
        <w:rPr>
          <w:b/>
        </w:rPr>
      </w:pPr>
      <w:r>
        <w:rPr>
          <w:b/>
          <w:noProof/>
        </w:rPr>
        <w:drawing>
          <wp:inline distT="0" distB="0" distL="0" distR="0" wp14:anchorId="66ECAAD9">
            <wp:extent cx="5660136" cy="20939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60136" cy="2093976"/>
                    </a:xfrm>
                    <a:prstGeom prst="rect">
                      <a:avLst/>
                    </a:prstGeom>
                    <a:noFill/>
                  </pic:spPr>
                </pic:pic>
              </a:graphicData>
            </a:graphic>
          </wp:inline>
        </w:drawing>
      </w:r>
    </w:p>
    <w:p w:rsidR="002E44D6" w:rsidRDefault="002E44D6" w:rsidP="002E44D6">
      <w:pPr>
        <w:ind w:left="360"/>
        <w:rPr>
          <w:b/>
        </w:rPr>
      </w:pPr>
      <w:r>
        <w:rPr>
          <w:b/>
        </w:rPr>
        <w:t>Region distribution</w:t>
      </w:r>
    </w:p>
    <w:p w:rsidR="002E44D6" w:rsidRDefault="002E44D6" w:rsidP="002E44D6">
      <w:pPr>
        <w:ind w:left="360"/>
        <w:rPr>
          <w:b/>
        </w:rPr>
      </w:pPr>
      <w:r>
        <w:rPr>
          <w:b/>
          <w:noProof/>
        </w:rPr>
        <w:drawing>
          <wp:inline distT="0" distB="0" distL="0" distR="0" wp14:anchorId="5B308B77">
            <wp:extent cx="5672587" cy="297180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77903" cy="2974585"/>
                    </a:xfrm>
                    <a:prstGeom prst="rect">
                      <a:avLst/>
                    </a:prstGeom>
                    <a:noFill/>
                  </pic:spPr>
                </pic:pic>
              </a:graphicData>
            </a:graphic>
          </wp:inline>
        </w:drawing>
      </w:r>
    </w:p>
    <w:p w:rsidR="002E44D6" w:rsidRPr="007154F3" w:rsidRDefault="002E44D6" w:rsidP="002E44D6">
      <w:pPr>
        <w:ind w:left="360"/>
        <w:rPr>
          <w:b/>
        </w:rPr>
      </w:pPr>
    </w:p>
    <w:sectPr w:rsidR="002E44D6" w:rsidRPr="00715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21E4F"/>
    <w:multiLevelType w:val="hybridMultilevel"/>
    <w:tmpl w:val="63E83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FC3D02"/>
    <w:multiLevelType w:val="hybridMultilevel"/>
    <w:tmpl w:val="57D4E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247592"/>
    <w:multiLevelType w:val="hybridMultilevel"/>
    <w:tmpl w:val="C25A7A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A2C"/>
    <w:rsid w:val="00032A9A"/>
    <w:rsid w:val="000D5B25"/>
    <w:rsid w:val="00112F10"/>
    <w:rsid w:val="00147D4C"/>
    <w:rsid w:val="001704FD"/>
    <w:rsid w:val="002C727D"/>
    <w:rsid w:val="002E44D6"/>
    <w:rsid w:val="003D055E"/>
    <w:rsid w:val="00407963"/>
    <w:rsid w:val="00483412"/>
    <w:rsid w:val="00517590"/>
    <w:rsid w:val="00540D29"/>
    <w:rsid w:val="00570379"/>
    <w:rsid w:val="00634B35"/>
    <w:rsid w:val="006722E2"/>
    <w:rsid w:val="00680467"/>
    <w:rsid w:val="007154F3"/>
    <w:rsid w:val="007943FA"/>
    <w:rsid w:val="00844A4F"/>
    <w:rsid w:val="008511D7"/>
    <w:rsid w:val="008D4927"/>
    <w:rsid w:val="00952952"/>
    <w:rsid w:val="00A649B0"/>
    <w:rsid w:val="00A65DCC"/>
    <w:rsid w:val="00B17E82"/>
    <w:rsid w:val="00B72CE4"/>
    <w:rsid w:val="00C51A2C"/>
    <w:rsid w:val="00D8090C"/>
    <w:rsid w:val="00DA3DBB"/>
    <w:rsid w:val="00E94151"/>
    <w:rsid w:val="00ED09E1"/>
    <w:rsid w:val="00ED5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D8113F-A4BE-4D88-8DB6-A46A4021C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590"/>
    <w:pPr>
      <w:spacing w:after="0" w:line="240" w:lineRule="auto"/>
      <w:ind w:left="720"/>
    </w:pPr>
    <w:rPr>
      <w:rFonts w:ascii="Calibri" w:hAnsi="Calibri" w:cs="Times New Roman"/>
    </w:rPr>
  </w:style>
  <w:style w:type="paragraph" w:styleId="NormalWeb">
    <w:name w:val="Normal (Web)"/>
    <w:basedOn w:val="Normal"/>
    <w:uiPriority w:val="99"/>
    <w:semiHidden/>
    <w:unhideWhenUsed/>
    <w:rsid w:val="00112F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44D6"/>
    <w:rPr>
      <w:b/>
      <w:bCs/>
    </w:rPr>
  </w:style>
  <w:style w:type="paragraph" w:styleId="BalloonText">
    <w:name w:val="Balloon Text"/>
    <w:basedOn w:val="Normal"/>
    <w:link w:val="BalloonTextChar"/>
    <w:uiPriority w:val="99"/>
    <w:semiHidden/>
    <w:unhideWhenUsed/>
    <w:rsid w:val="00B72C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C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85068">
      <w:bodyDiv w:val="1"/>
      <w:marLeft w:val="0"/>
      <w:marRight w:val="0"/>
      <w:marTop w:val="0"/>
      <w:marBottom w:val="0"/>
      <w:divBdr>
        <w:top w:val="none" w:sz="0" w:space="0" w:color="auto"/>
        <w:left w:val="none" w:sz="0" w:space="0" w:color="auto"/>
        <w:bottom w:val="none" w:sz="0" w:space="0" w:color="auto"/>
        <w:right w:val="none" w:sz="0" w:space="0" w:color="auto"/>
      </w:divBdr>
    </w:div>
    <w:div w:id="298456407">
      <w:bodyDiv w:val="1"/>
      <w:marLeft w:val="0"/>
      <w:marRight w:val="0"/>
      <w:marTop w:val="0"/>
      <w:marBottom w:val="0"/>
      <w:divBdr>
        <w:top w:val="none" w:sz="0" w:space="0" w:color="auto"/>
        <w:left w:val="none" w:sz="0" w:space="0" w:color="auto"/>
        <w:bottom w:val="none" w:sz="0" w:space="0" w:color="auto"/>
        <w:right w:val="none" w:sz="0" w:space="0" w:color="auto"/>
      </w:divBdr>
    </w:div>
    <w:div w:id="451944868">
      <w:bodyDiv w:val="1"/>
      <w:marLeft w:val="0"/>
      <w:marRight w:val="0"/>
      <w:marTop w:val="0"/>
      <w:marBottom w:val="0"/>
      <w:divBdr>
        <w:top w:val="none" w:sz="0" w:space="0" w:color="auto"/>
        <w:left w:val="none" w:sz="0" w:space="0" w:color="auto"/>
        <w:bottom w:val="none" w:sz="0" w:space="0" w:color="auto"/>
        <w:right w:val="none" w:sz="0" w:space="0" w:color="auto"/>
      </w:divBdr>
    </w:div>
    <w:div w:id="461004116">
      <w:bodyDiv w:val="1"/>
      <w:marLeft w:val="0"/>
      <w:marRight w:val="0"/>
      <w:marTop w:val="0"/>
      <w:marBottom w:val="0"/>
      <w:divBdr>
        <w:top w:val="none" w:sz="0" w:space="0" w:color="auto"/>
        <w:left w:val="none" w:sz="0" w:space="0" w:color="auto"/>
        <w:bottom w:val="none" w:sz="0" w:space="0" w:color="auto"/>
        <w:right w:val="none" w:sz="0" w:space="0" w:color="auto"/>
      </w:divBdr>
    </w:div>
    <w:div w:id="466092325">
      <w:bodyDiv w:val="1"/>
      <w:marLeft w:val="0"/>
      <w:marRight w:val="0"/>
      <w:marTop w:val="0"/>
      <w:marBottom w:val="0"/>
      <w:divBdr>
        <w:top w:val="none" w:sz="0" w:space="0" w:color="auto"/>
        <w:left w:val="none" w:sz="0" w:space="0" w:color="auto"/>
        <w:bottom w:val="none" w:sz="0" w:space="0" w:color="auto"/>
        <w:right w:val="none" w:sz="0" w:space="0" w:color="auto"/>
      </w:divBdr>
    </w:div>
    <w:div w:id="611131970">
      <w:bodyDiv w:val="1"/>
      <w:marLeft w:val="0"/>
      <w:marRight w:val="0"/>
      <w:marTop w:val="0"/>
      <w:marBottom w:val="0"/>
      <w:divBdr>
        <w:top w:val="none" w:sz="0" w:space="0" w:color="auto"/>
        <w:left w:val="none" w:sz="0" w:space="0" w:color="auto"/>
        <w:bottom w:val="none" w:sz="0" w:space="0" w:color="auto"/>
        <w:right w:val="none" w:sz="0" w:space="0" w:color="auto"/>
      </w:divBdr>
    </w:div>
    <w:div w:id="615256915">
      <w:bodyDiv w:val="1"/>
      <w:marLeft w:val="0"/>
      <w:marRight w:val="0"/>
      <w:marTop w:val="0"/>
      <w:marBottom w:val="0"/>
      <w:divBdr>
        <w:top w:val="none" w:sz="0" w:space="0" w:color="auto"/>
        <w:left w:val="none" w:sz="0" w:space="0" w:color="auto"/>
        <w:bottom w:val="none" w:sz="0" w:space="0" w:color="auto"/>
        <w:right w:val="none" w:sz="0" w:space="0" w:color="auto"/>
      </w:divBdr>
    </w:div>
    <w:div w:id="1289776778">
      <w:bodyDiv w:val="1"/>
      <w:marLeft w:val="0"/>
      <w:marRight w:val="0"/>
      <w:marTop w:val="0"/>
      <w:marBottom w:val="0"/>
      <w:divBdr>
        <w:top w:val="none" w:sz="0" w:space="0" w:color="auto"/>
        <w:left w:val="none" w:sz="0" w:space="0" w:color="auto"/>
        <w:bottom w:val="none" w:sz="0" w:space="0" w:color="auto"/>
        <w:right w:val="none" w:sz="0" w:space="0" w:color="auto"/>
      </w:divBdr>
    </w:div>
    <w:div w:id="1481925890">
      <w:bodyDiv w:val="1"/>
      <w:marLeft w:val="0"/>
      <w:marRight w:val="0"/>
      <w:marTop w:val="0"/>
      <w:marBottom w:val="0"/>
      <w:divBdr>
        <w:top w:val="none" w:sz="0" w:space="0" w:color="auto"/>
        <w:left w:val="none" w:sz="0" w:space="0" w:color="auto"/>
        <w:bottom w:val="none" w:sz="0" w:space="0" w:color="auto"/>
        <w:right w:val="none" w:sz="0" w:space="0" w:color="auto"/>
      </w:divBdr>
    </w:div>
    <w:div w:id="1738433153">
      <w:bodyDiv w:val="1"/>
      <w:marLeft w:val="0"/>
      <w:marRight w:val="0"/>
      <w:marTop w:val="0"/>
      <w:marBottom w:val="0"/>
      <w:divBdr>
        <w:top w:val="none" w:sz="0" w:space="0" w:color="auto"/>
        <w:left w:val="none" w:sz="0" w:space="0" w:color="auto"/>
        <w:bottom w:val="none" w:sz="0" w:space="0" w:color="auto"/>
        <w:right w:val="none" w:sz="0" w:space="0" w:color="auto"/>
      </w:divBdr>
    </w:div>
    <w:div w:id="1791128563">
      <w:bodyDiv w:val="1"/>
      <w:marLeft w:val="0"/>
      <w:marRight w:val="0"/>
      <w:marTop w:val="0"/>
      <w:marBottom w:val="0"/>
      <w:divBdr>
        <w:top w:val="none" w:sz="0" w:space="0" w:color="auto"/>
        <w:left w:val="none" w:sz="0" w:space="0" w:color="auto"/>
        <w:bottom w:val="none" w:sz="0" w:space="0" w:color="auto"/>
        <w:right w:val="none" w:sz="0" w:space="0" w:color="auto"/>
      </w:divBdr>
    </w:div>
    <w:div w:id="1792900177">
      <w:bodyDiv w:val="1"/>
      <w:marLeft w:val="0"/>
      <w:marRight w:val="0"/>
      <w:marTop w:val="0"/>
      <w:marBottom w:val="0"/>
      <w:divBdr>
        <w:top w:val="none" w:sz="0" w:space="0" w:color="auto"/>
        <w:left w:val="none" w:sz="0" w:space="0" w:color="auto"/>
        <w:bottom w:val="none" w:sz="0" w:space="0" w:color="auto"/>
        <w:right w:val="none" w:sz="0" w:space="0" w:color="auto"/>
      </w:divBdr>
    </w:div>
    <w:div w:id="1906799967">
      <w:bodyDiv w:val="1"/>
      <w:marLeft w:val="0"/>
      <w:marRight w:val="0"/>
      <w:marTop w:val="0"/>
      <w:marBottom w:val="0"/>
      <w:divBdr>
        <w:top w:val="none" w:sz="0" w:space="0" w:color="auto"/>
        <w:left w:val="none" w:sz="0" w:space="0" w:color="auto"/>
        <w:bottom w:val="none" w:sz="0" w:space="0" w:color="auto"/>
        <w:right w:val="none" w:sz="0" w:space="0" w:color="auto"/>
      </w:divBdr>
    </w:div>
    <w:div w:id="208983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Liying</dc:creator>
  <cp:keywords/>
  <dc:description/>
  <cp:lastModifiedBy>Lu, Liying</cp:lastModifiedBy>
  <cp:revision>3</cp:revision>
  <cp:lastPrinted>2015-12-03T21:20:00Z</cp:lastPrinted>
  <dcterms:created xsi:type="dcterms:W3CDTF">2015-12-04T16:42:00Z</dcterms:created>
  <dcterms:modified xsi:type="dcterms:W3CDTF">2015-12-09T18:39:00Z</dcterms:modified>
</cp:coreProperties>
</file>