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1F615" w14:textId="77777777" w:rsidR="00EE5B0F" w:rsidRPr="001D05BA" w:rsidRDefault="00DF3459" w:rsidP="001D05BA">
      <w:pPr>
        <w:pStyle w:val="NoSpacing"/>
        <w:jc w:val="center"/>
        <w:rPr>
          <w:b/>
          <w:color w:val="002060"/>
          <w:sz w:val="56"/>
        </w:rPr>
      </w:pPr>
      <w:r w:rsidRPr="001D05BA">
        <w:rPr>
          <w:b/>
          <w:color w:val="002060"/>
          <w:sz w:val="56"/>
        </w:rPr>
        <w:t>Asset Class Reviews</w:t>
      </w:r>
    </w:p>
    <w:p w14:paraId="4C6A5C32" w14:textId="77777777" w:rsidR="001D05BA" w:rsidRPr="001D05BA" w:rsidRDefault="009307E1" w:rsidP="001D05BA">
      <w:pPr>
        <w:pStyle w:val="NoSpacing"/>
        <w:jc w:val="center"/>
        <w:rPr>
          <w:b/>
          <w:color w:val="002060"/>
          <w:sz w:val="28"/>
        </w:rPr>
      </w:pPr>
      <w:r>
        <w:rPr>
          <w:b/>
          <w:color w:val="002060"/>
          <w:sz w:val="28"/>
        </w:rPr>
        <w:t>September</w:t>
      </w:r>
      <w:r w:rsidR="00E04D34">
        <w:rPr>
          <w:b/>
          <w:color w:val="002060"/>
          <w:sz w:val="28"/>
        </w:rPr>
        <w:t xml:space="preserve"> 2015</w:t>
      </w:r>
    </w:p>
    <w:p w14:paraId="275FB877" w14:textId="77777777" w:rsidR="00DF3459" w:rsidRPr="00DF3459" w:rsidRDefault="00DF3459" w:rsidP="001D05BA">
      <w:pPr>
        <w:pStyle w:val="NoSpacing"/>
        <w:rPr>
          <w:u w:val="single"/>
        </w:rPr>
      </w:pPr>
      <w:r>
        <w:rPr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1747876" wp14:editId="3C3DF553">
                <wp:simplePos x="0" y="0"/>
                <wp:positionH relativeFrom="column">
                  <wp:posOffset>42530</wp:posOffset>
                </wp:positionH>
                <wp:positionV relativeFrom="paragraph">
                  <wp:posOffset>104037</wp:posOffset>
                </wp:positionV>
                <wp:extent cx="5869172" cy="0"/>
                <wp:effectExtent l="0" t="0" r="177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9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A48F51" id="Straight Connector 8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5pt,8.2pt" to="465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" strokecolor="#4579b8 [3044]"/>
            </w:pict>
          </mc:Fallback>
        </mc:AlternateContent>
      </w:r>
    </w:p>
    <w:p w14:paraId="1E347FF4" w14:textId="77777777" w:rsidR="001D05BA" w:rsidRPr="001D05BA" w:rsidRDefault="001D05BA" w:rsidP="001D05BA">
      <w:pPr>
        <w:pStyle w:val="NoSpacing"/>
        <w:jc w:val="center"/>
        <w:rPr>
          <w:b/>
          <w:sz w:val="24"/>
        </w:rPr>
      </w:pPr>
      <w:r w:rsidRPr="001D05BA">
        <w:rPr>
          <w:b/>
          <w:sz w:val="24"/>
        </w:rPr>
        <w:t>PRIM Investment Team</w:t>
      </w:r>
    </w:p>
    <w:p w14:paraId="5F1D7B7F" w14:textId="77777777" w:rsidR="00DF3459" w:rsidRPr="001D05BA" w:rsidRDefault="001D05BA" w:rsidP="001D05BA">
      <w:pPr>
        <w:pStyle w:val="NoSpacing"/>
        <w:jc w:val="center"/>
        <w:rPr>
          <w:i/>
        </w:rPr>
      </w:pPr>
      <w:r w:rsidRPr="001D05BA">
        <w:rPr>
          <w:i/>
        </w:rPr>
        <w:t>This document focuses on the macroeconomic outlook, valuation, sentiment, a</w:t>
      </w:r>
      <w:r>
        <w:rPr>
          <w:i/>
        </w:rPr>
        <w:t>nd momentum of the public markets asset classes</w:t>
      </w:r>
      <w:r w:rsidRPr="001D05BA">
        <w:rPr>
          <w:i/>
        </w:rPr>
        <w:t xml:space="preserve"> on a quarterly basis. Each asset class is assigned a rating which represents the recommendations of the Public Markets team.</w:t>
      </w:r>
    </w:p>
    <w:p w14:paraId="09179866" w14:textId="77777777" w:rsidR="001D05BA" w:rsidRDefault="001D05BA" w:rsidP="00DF3459">
      <w:pPr>
        <w:pStyle w:val="NoSpacing"/>
      </w:pPr>
    </w:p>
    <w:tbl>
      <w:tblPr>
        <w:tblStyle w:val="TableGrid"/>
        <w:tblW w:w="10573" w:type="dxa"/>
        <w:tblInd w:w="-635" w:type="dxa"/>
        <w:tblLook w:val="04A0" w:firstRow="1" w:lastRow="0" w:firstColumn="1" w:lastColumn="0" w:noHBand="0" w:noVBand="1"/>
      </w:tblPr>
      <w:tblGrid>
        <w:gridCol w:w="2880"/>
        <w:gridCol w:w="1390"/>
        <w:gridCol w:w="1160"/>
        <w:gridCol w:w="1337"/>
        <w:gridCol w:w="1196"/>
        <w:gridCol w:w="1106"/>
        <w:gridCol w:w="1504"/>
      </w:tblGrid>
      <w:tr w:rsidR="005F6680" w:rsidRPr="00D428C0" w14:paraId="1AF2A1F7" w14:textId="77777777" w:rsidTr="005F6680">
        <w:tc>
          <w:tcPr>
            <w:tcW w:w="2880" w:type="dxa"/>
          </w:tcPr>
          <w:p w14:paraId="693E2BB0" w14:textId="77777777" w:rsidR="005F6680" w:rsidRPr="00D428C0" w:rsidRDefault="005F6680" w:rsidP="00D8679B">
            <w:pPr>
              <w:keepNext/>
              <w:keepLines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  <w:p w14:paraId="111EE657" w14:textId="77777777" w:rsidR="0013303D" w:rsidRPr="00D428C0" w:rsidRDefault="0013303D" w:rsidP="00D8679B">
            <w:pPr>
              <w:keepNext/>
              <w:keepLines/>
              <w:outlineLvl w:val="1"/>
              <w:rPr>
                <w:rFonts w:eastAsiaTheme="majorEastAsia" w:cstheme="majorBidi"/>
                <w:b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/>
                <w:bCs/>
                <w:color w:val="002060"/>
                <w:szCs w:val="26"/>
              </w:rPr>
              <w:t>SUMMARY OF VIEWS</w:t>
            </w:r>
          </w:p>
        </w:tc>
        <w:tc>
          <w:tcPr>
            <w:tcW w:w="1390" w:type="dxa"/>
            <w:vAlign w:val="bottom"/>
          </w:tcPr>
          <w:p w14:paraId="6977648E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/>
                <w:bCs/>
                <w:color w:val="FF0000"/>
                <w:szCs w:val="26"/>
              </w:rPr>
              <w:t>Negative</w:t>
            </w:r>
          </w:p>
        </w:tc>
        <w:tc>
          <w:tcPr>
            <w:tcW w:w="1160" w:type="dxa"/>
            <w:vAlign w:val="bottom"/>
          </w:tcPr>
          <w:p w14:paraId="24598A55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/>
                <w:bCs/>
                <w:color w:val="FF9B9B"/>
                <w:szCs w:val="26"/>
              </w:rPr>
            </w:pPr>
            <w:r w:rsidRPr="00D428C0">
              <w:rPr>
                <w:rFonts w:eastAsiaTheme="majorEastAsia" w:cstheme="majorBidi"/>
                <w:b/>
                <w:bCs/>
                <w:color w:val="FF0000"/>
                <w:szCs w:val="26"/>
              </w:rPr>
              <w:t xml:space="preserve">Negative </w:t>
            </w:r>
            <w:r w:rsidRPr="00D428C0">
              <w:rPr>
                <w:rFonts w:eastAsiaTheme="majorEastAsia" w:cstheme="majorBidi"/>
                <w:b/>
                <w:bCs/>
                <w:szCs w:val="26"/>
              </w:rPr>
              <w:t>to Neutral</w:t>
            </w:r>
          </w:p>
        </w:tc>
        <w:tc>
          <w:tcPr>
            <w:tcW w:w="1337" w:type="dxa"/>
            <w:vAlign w:val="bottom"/>
          </w:tcPr>
          <w:p w14:paraId="1A1CA431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/>
                <w:bCs/>
                <w:szCs w:val="26"/>
              </w:rPr>
              <w:t>Neutral</w:t>
            </w:r>
          </w:p>
        </w:tc>
        <w:tc>
          <w:tcPr>
            <w:tcW w:w="1196" w:type="dxa"/>
            <w:vAlign w:val="bottom"/>
          </w:tcPr>
          <w:p w14:paraId="57D39FF3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/>
                <w:bCs/>
                <w:color w:val="05FF76"/>
                <w:szCs w:val="26"/>
              </w:rPr>
            </w:pPr>
            <w:r w:rsidRPr="00D428C0">
              <w:rPr>
                <w:rFonts w:eastAsiaTheme="majorEastAsia" w:cstheme="majorBidi"/>
                <w:b/>
                <w:bCs/>
                <w:szCs w:val="26"/>
              </w:rPr>
              <w:t xml:space="preserve">Neutral to </w:t>
            </w:r>
            <w:r w:rsidRPr="00D428C0">
              <w:rPr>
                <w:rFonts w:eastAsiaTheme="majorEastAsia" w:cstheme="majorBidi"/>
                <w:b/>
                <w:bCs/>
                <w:color w:val="00B050"/>
                <w:szCs w:val="26"/>
              </w:rPr>
              <w:t>Positive</w:t>
            </w:r>
          </w:p>
        </w:tc>
        <w:tc>
          <w:tcPr>
            <w:tcW w:w="1106" w:type="dxa"/>
            <w:vAlign w:val="bottom"/>
          </w:tcPr>
          <w:p w14:paraId="6CAC174C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/>
                <w:bCs/>
                <w:color w:val="008A3E"/>
                <w:szCs w:val="26"/>
              </w:rPr>
            </w:pPr>
            <w:r w:rsidRPr="00D428C0">
              <w:rPr>
                <w:rFonts w:eastAsiaTheme="majorEastAsia" w:cstheme="majorBidi"/>
                <w:b/>
                <w:bCs/>
                <w:color w:val="00B050"/>
                <w:szCs w:val="26"/>
              </w:rPr>
              <w:t>Positive</w:t>
            </w:r>
          </w:p>
        </w:tc>
        <w:tc>
          <w:tcPr>
            <w:tcW w:w="1504" w:type="dxa"/>
            <w:vAlign w:val="bottom"/>
          </w:tcPr>
          <w:p w14:paraId="2106BFA3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/>
                <w:bCs/>
                <w:szCs w:val="26"/>
              </w:rPr>
            </w:pPr>
            <w:r w:rsidRPr="00D428C0">
              <w:rPr>
                <w:rFonts w:eastAsiaTheme="majorEastAsia" w:cstheme="majorBidi"/>
                <w:b/>
                <w:bCs/>
                <w:szCs w:val="26"/>
              </w:rPr>
              <w:t>Change</w:t>
            </w:r>
          </w:p>
        </w:tc>
      </w:tr>
      <w:tr w:rsidR="005F6680" w:rsidRPr="00D428C0" w14:paraId="29D09511" w14:textId="77777777" w:rsidTr="005F6680">
        <w:tc>
          <w:tcPr>
            <w:tcW w:w="2880" w:type="dxa"/>
          </w:tcPr>
          <w:p w14:paraId="693C3AB9" w14:textId="77777777" w:rsidR="005F6680" w:rsidRPr="00026E59" w:rsidRDefault="005F6680" w:rsidP="00D8679B">
            <w:pPr>
              <w:keepNext/>
              <w:keepLines/>
              <w:outlineLvl w:val="1"/>
              <w:rPr>
                <w:rFonts w:eastAsiaTheme="majorEastAsia" w:cstheme="majorBidi"/>
                <w:b/>
                <w:bCs/>
                <w:color w:val="002060"/>
                <w:szCs w:val="26"/>
              </w:rPr>
            </w:pPr>
            <w:r w:rsidRPr="00026E59">
              <w:rPr>
                <w:rFonts w:eastAsiaTheme="majorEastAsia" w:cstheme="majorBidi"/>
                <w:b/>
                <w:bCs/>
                <w:color w:val="002060"/>
                <w:szCs w:val="26"/>
              </w:rPr>
              <w:t>U.S. Large Cap Equities</w:t>
            </w:r>
          </w:p>
        </w:tc>
        <w:tc>
          <w:tcPr>
            <w:tcW w:w="1390" w:type="dxa"/>
          </w:tcPr>
          <w:p w14:paraId="46A5BBAD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60" w:type="dxa"/>
          </w:tcPr>
          <w:p w14:paraId="5F1DA7F9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337" w:type="dxa"/>
          </w:tcPr>
          <w:p w14:paraId="0FC1EA47" w14:textId="77777777" w:rsidR="005F6680" w:rsidRPr="00D428C0" w:rsidRDefault="003E228E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Cs/>
                <w:color w:val="002060"/>
                <w:szCs w:val="26"/>
              </w:rPr>
              <w:t>o</w:t>
            </w:r>
          </w:p>
        </w:tc>
        <w:tc>
          <w:tcPr>
            <w:tcW w:w="1196" w:type="dxa"/>
          </w:tcPr>
          <w:p w14:paraId="1D457213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06" w:type="dxa"/>
          </w:tcPr>
          <w:p w14:paraId="0C35F2EF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504" w:type="dxa"/>
          </w:tcPr>
          <w:p w14:paraId="0CB57EDD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</w:tr>
      <w:tr w:rsidR="005F6680" w:rsidRPr="00D428C0" w14:paraId="2D016D57" w14:textId="77777777" w:rsidTr="005F6680">
        <w:tc>
          <w:tcPr>
            <w:tcW w:w="2880" w:type="dxa"/>
          </w:tcPr>
          <w:p w14:paraId="41F36A2B" w14:textId="77777777" w:rsidR="005F6680" w:rsidRPr="00026E59" w:rsidRDefault="005F6680" w:rsidP="00D8679B">
            <w:pPr>
              <w:keepNext/>
              <w:keepLines/>
              <w:outlineLvl w:val="1"/>
              <w:rPr>
                <w:rFonts w:eastAsiaTheme="majorEastAsia" w:cstheme="majorBidi"/>
                <w:b/>
                <w:bCs/>
                <w:color w:val="002060"/>
                <w:szCs w:val="26"/>
              </w:rPr>
            </w:pPr>
            <w:r w:rsidRPr="00026E59">
              <w:rPr>
                <w:rFonts w:eastAsiaTheme="majorEastAsia" w:cstheme="majorBidi"/>
                <w:b/>
                <w:bCs/>
                <w:color w:val="002060"/>
                <w:szCs w:val="26"/>
              </w:rPr>
              <w:t>U.S. Small Cap Equities</w:t>
            </w:r>
          </w:p>
        </w:tc>
        <w:tc>
          <w:tcPr>
            <w:tcW w:w="1390" w:type="dxa"/>
          </w:tcPr>
          <w:p w14:paraId="323CC7EB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60" w:type="dxa"/>
          </w:tcPr>
          <w:p w14:paraId="60CE431C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337" w:type="dxa"/>
          </w:tcPr>
          <w:p w14:paraId="63F1609C" w14:textId="77777777" w:rsidR="005F6680" w:rsidRPr="00D428C0" w:rsidRDefault="00440213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Cs/>
                <w:color w:val="002060"/>
                <w:szCs w:val="26"/>
              </w:rPr>
              <w:t>o</w:t>
            </w:r>
          </w:p>
        </w:tc>
        <w:tc>
          <w:tcPr>
            <w:tcW w:w="1196" w:type="dxa"/>
          </w:tcPr>
          <w:p w14:paraId="3E143FE7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06" w:type="dxa"/>
          </w:tcPr>
          <w:p w14:paraId="29E444BB" w14:textId="77777777" w:rsidR="005F6680" w:rsidRPr="00D428C0" w:rsidRDefault="005F6680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504" w:type="dxa"/>
          </w:tcPr>
          <w:p w14:paraId="352D7C2C" w14:textId="77777777" w:rsidR="005F6680" w:rsidRPr="00D428C0" w:rsidRDefault="00440213" w:rsidP="005F6680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F2288C">
              <w:rPr>
                <w:rFonts w:eastAsiaTheme="majorEastAsia" w:cstheme="majorBidi"/>
                <w:bCs/>
                <w:color w:val="FF0000"/>
                <w:szCs w:val="26"/>
              </w:rPr>
              <w:t>↓</w:t>
            </w:r>
          </w:p>
        </w:tc>
      </w:tr>
      <w:tr w:rsidR="003E228E" w:rsidRPr="00D428C0" w14:paraId="13EC953A" w14:textId="77777777" w:rsidTr="005F6680">
        <w:tc>
          <w:tcPr>
            <w:tcW w:w="2880" w:type="dxa"/>
          </w:tcPr>
          <w:p w14:paraId="2ACC75C7" w14:textId="77777777" w:rsidR="003E228E" w:rsidRPr="00026E59" w:rsidRDefault="003E228E" w:rsidP="003E228E">
            <w:pPr>
              <w:keepNext/>
              <w:keepLines/>
              <w:outlineLvl w:val="1"/>
              <w:rPr>
                <w:rFonts w:eastAsiaTheme="majorEastAsia" w:cstheme="majorBidi"/>
                <w:b/>
                <w:bCs/>
                <w:color w:val="002060"/>
                <w:szCs w:val="26"/>
              </w:rPr>
            </w:pPr>
            <w:r w:rsidRPr="00026E59">
              <w:rPr>
                <w:rFonts w:eastAsiaTheme="majorEastAsia" w:cstheme="majorBidi"/>
                <w:b/>
                <w:bCs/>
                <w:color w:val="002060"/>
                <w:szCs w:val="26"/>
              </w:rPr>
              <w:t>Developed Non-U.S. Equities</w:t>
            </w:r>
          </w:p>
        </w:tc>
        <w:tc>
          <w:tcPr>
            <w:tcW w:w="1390" w:type="dxa"/>
          </w:tcPr>
          <w:p w14:paraId="00CF1E9A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60" w:type="dxa"/>
          </w:tcPr>
          <w:p w14:paraId="24D59C1D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337" w:type="dxa"/>
          </w:tcPr>
          <w:p w14:paraId="31D2D7C8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96" w:type="dxa"/>
          </w:tcPr>
          <w:p w14:paraId="00ACF16F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Cs/>
                <w:color w:val="002060"/>
                <w:szCs w:val="26"/>
              </w:rPr>
              <w:t>o</w:t>
            </w:r>
          </w:p>
        </w:tc>
        <w:tc>
          <w:tcPr>
            <w:tcW w:w="1106" w:type="dxa"/>
          </w:tcPr>
          <w:p w14:paraId="05B6DC06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504" w:type="dxa"/>
          </w:tcPr>
          <w:p w14:paraId="53237FD9" w14:textId="77777777" w:rsidR="003E228E" w:rsidRPr="0022580A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B050"/>
                <w:szCs w:val="26"/>
              </w:rPr>
            </w:pPr>
          </w:p>
        </w:tc>
      </w:tr>
      <w:tr w:rsidR="003E228E" w:rsidRPr="00D428C0" w14:paraId="3B1AFC0B" w14:textId="77777777" w:rsidTr="005F6680">
        <w:tc>
          <w:tcPr>
            <w:tcW w:w="2880" w:type="dxa"/>
          </w:tcPr>
          <w:p w14:paraId="76258565" w14:textId="77777777" w:rsidR="003E228E" w:rsidRPr="00026E59" w:rsidRDefault="003E228E" w:rsidP="003E228E">
            <w:pPr>
              <w:keepNext/>
              <w:keepLines/>
              <w:outlineLvl w:val="1"/>
              <w:rPr>
                <w:rFonts w:eastAsiaTheme="majorEastAsia" w:cstheme="majorBidi"/>
                <w:b/>
                <w:bCs/>
                <w:color w:val="002060"/>
                <w:szCs w:val="26"/>
              </w:rPr>
            </w:pPr>
            <w:r w:rsidRPr="00026E59">
              <w:rPr>
                <w:rFonts w:eastAsiaTheme="majorEastAsia" w:cstheme="majorBidi"/>
                <w:b/>
                <w:bCs/>
                <w:color w:val="002060"/>
                <w:szCs w:val="26"/>
              </w:rPr>
              <w:t>Emerging Markets Equity</w:t>
            </w:r>
          </w:p>
        </w:tc>
        <w:tc>
          <w:tcPr>
            <w:tcW w:w="1390" w:type="dxa"/>
          </w:tcPr>
          <w:p w14:paraId="187B5DCB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60" w:type="dxa"/>
          </w:tcPr>
          <w:p w14:paraId="4FC9F004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337" w:type="dxa"/>
          </w:tcPr>
          <w:p w14:paraId="110996EF" w14:textId="77777777" w:rsidR="003E228E" w:rsidRPr="00D428C0" w:rsidRDefault="00440213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Cs/>
                <w:color w:val="002060"/>
                <w:szCs w:val="26"/>
              </w:rPr>
              <w:t>o</w:t>
            </w:r>
          </w:p>
        </w:tc>
        <w:tc>
          <w:tcPr>
            <w:tcW w:w="1196" w:type="dxa"/>
          </w:tcPr>
          <w:p w14:paraId="37EFFB42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06" w:type="dxa"/>
          </w:tcPr>
          <w:p w14:paraId="0C86E1CE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504" w:type="dxa"/>
          </w:tcPr>
          <w:p w14:paraId="2D91529C" w14:textId="77777777" w:rsidR="003E228E" w:rsidRPr="0022580A" w:rsidRDefault="00440213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B050"/>
                <w:szCs w:val="26"/>
              </w:rPr>
            </w:pPr>
            <w:r w:rsidRPr="00F2288C">
              <w:rPr>
                <w:rFonts w:eastAsiaTheme="majorEastAsia" w:cstheme="majorBidi"/>
                <w:bCs/>
                <w:color w:val="FF0000"/>
                <w:szCs w:val="26"/>
              </w:rPr>
              <w:t>↓</w:t>
            </w:r>
          </w:p>
        </w:tc>
      </w:tr>
      <w:tr w:rsidR="003E228E" w:rsidRPr="00D428C0" w14:paraId="705D3E2F" w14:textId="77777777" w:rsidTr="005F6680">
        <w:tc>
          <w:tcPr>
            <w:tcW w:w="2880" w:type="dxa"/>
          </w:tcPr>
          <w:p w14:paraId="154415E1" w14:textId="77777777" w:rsidR="003E228E" w:rsidRPr="00026E59" w:rsidRDefault="003E228E" w:rsidP="003E228E">
            <w:pPr>
              <w:keepNext/>
              <w:keepLines/>
              <w:outlineLvl w:val="1"/>
              <w:rPr>
                <w:rFonts w:eastAsiaTheme="majorEastAsia" w:cstheme="majorBidi"/>
                <w:b/>
                <w:bCs/>
                <w:color w:val="002060"/>
                <w:szCs w:val="26"/>
              </w:rPr>
            </w:pPr>
            <w:r w:rsidRPr="00026E59">
              <w:rPr>
                <w:rFonts w:eastAsiaTheme="majorEastAsia" w:cstheme="majorBidi"/>
                <w:b/>
                <w:bCs/>
                <w:color w:val="002060"/>
                <w:szCs w:val="26"/>
              </w:rPr>
              <w:t>Rates</w:t>
            </w:r>
          </w:p>
        </w:tc>
        <w:tc>
          <w:tcPr>
            <w:tcW w:w="1390" w:type="dxa"/>
          </w:tcPr>
          <w:p w14:paraId="70081115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60" w:type="dxa"/>
          </w:tcPr>
          <w:p w14:paraId="00844340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337" w:type="dxa"/>
          </w:tcPr>
          <w:p w14:paraId="6D14A206" w14:textId="77777777" w:rsidR="003E228E" w:rsidRPr="00D428C0" w:rsidRDefault="00E140C4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Cs/>
                <w:color w:val="002060"/>
                <w:szCs w:val="26"/>
              </w:rPr>
              <w:t>o</w:t>
            </w:r>
          </w:p>
        </w:tc>
        <w:tc>
          <w:tcPr>
            <w:tcW w:w="1196" w:type="dxa"/>
          </w:tcPr>
          <w:p w14:paraId="4B98ADBA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06" w:type="dxa"/>
          </w:tcPr>
          <w:p w14:paraId="3B4D8D04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504" w:type="dxa"/>
          </w:tcPr>
          <w:p w14:paraId="2927A121" w14:textId="77777777" w:rsidR="003E228E" w:rsidRPr="00D428C0" w:rsidRDefault="00873868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22580A">
              <w:rPr>
                <w:rFonts w:eastAsiaTheme="majorEastAsia" w:cstheme="majorBidi"/>
                <w:bCs/>
                <w:color w:val="00B050"/>
                <w:szCs w:val="26"/>
              </w:rPr>
              <w:t>↑</w:t>
            </w:r>
          </w:p>
        </w:tc>
      </w:tr>
      <w:tr w:rsidR="003E228E" w:rsidRPr="00D428C0" w14:paraId="4854FA9C" w14:textId="77777777" w:rsidTr="005F6680">
        <w:tc>
          <w:tcPr>
            <w:tcW w:w="2880" w:type="dxa"/>
          </w:tcPr>
          <w:p w14:paraId="4427910D" w14:textId="77777777" w:rsidR="003E228E" w:rsidRPr="00026E59" w:rsidRDefault="003E228E" w:rsidP="003E228E">
            <w:pPr>
              <w:keepNext/>
              <w:keepLines/>
              <w:outlineLvl w:val="1"/>
              <w:rPr>
                <w:rFonts w:eastAsiaTheme="majorEastAsia" w:cstheme="majorBidi"/>
                <w:b/>
                <w:bCs/>
                <w:color w:val="002060"/>
                <w:szCs w:val="26"/>
              </w:rPr>
            </w:pPr>
            <w:r w:rsidRPr="00026E59">
              <w:rPr>
                <w:rFonts w:eastAsiaTheme="majorEastAsia" w:cstheme="majorBidi"/>
                <w:b/>
                <w:bCs/>
                <w:color w:val="002060"/>
                <w:szCs w:val="26"/>
              </w:rPr>
              <w:t>Spreads</w:t>
            </w:r>
          </w:p>
        </w:tc>
        <w:tc>
          <w:tcPr>
            <w:tcW w:w="1390" w:type="dxa"/>
          </w:tcPr>
          <w:p w14:paraId="3CF482DA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60" w:type="dxa"/>
          </w:tcPr>
          <w:p w14:paraId="0B4CCAF4" w14:textId="77777777" w:rsidR="003E228E" w:rsidRPr="00D428C0" w:rsidRDefault="00C26524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Cs/>
                <w:color w:val="002060"/>
                <w:szCs w:val="26"/>
              </w:rPr>
              <w:t>o</w:t>
            </w:r>
          </w:p>
        </w:tc>
        <w:tc>
          <w:tcPr>
            <w:tcW w:w="1337" w:type="dxa"/>
          </w:tcPr>
          <w:p w14:paraId="1C129962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96" w:type="dxa"/>
          </w:tcPr>
          <w:p w14:paraId="1092F48F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06" w:type="dxa"/>
          </w:tcPr>
          <w:p w14:paraId="70BCCF03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504" w:type="dxa"/>
          </w:tcPr>
          <w:p w14:paraId="165EA7B8" w14:textId="77777777" w:rsidR="003E228E" w:rsidRPr="0022580A" w:rsidRDefault="00C26524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B050"/>
                <w:szCs w:val="26"/>
              </w:rPr>
            </w:pPr>
            <w:r w:rsidRPr="00F2288C">
              <w:rPr>
                <w:rFonts w:eastAsiaTheme="majorEastAsia" w:cstheme="majorBidi"/>
                <w:bCs/>
                <w:color w:val="FF0000"/>
                <w:szCs w:val="26"/>
              </w:rPr>
              <w:t>↓</w:t>
            </w:r>
          </w:p>
        </w:tc>
      </w:tr>
      <w:tr w:rsidR="003E228E" w:rsidRPr="00D428C0" w14:paraId="7FFB4AD4" w14:textId="77777777" w:rsidTr="005F6680">
        <w:tc>
          <w:tcPr>
            <w:tcW w:w="2880" w:type="dxa"/>
          </w:tcPr>
          <w:p w14:paraId="7F1F186C" w14:textId="77777777" w:rsidR="003E228E" w:rsidRPr="006D1894" w:rsidRDefault="003E228E" w:rsidP="003E228E">
            <w:pPr>
              <w:keepNext/>
              <w:keepLines/>
              <w:ind w:left="517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6D1894">
              <w:rPr>
                <w:rFonts w:eastAsiaTheme="majorEastAsia" w:cstheme="majorBidi"/>
                <w:bCs/>
                <w:color w:val="002060"/>
                <w:szCs w:val="26"/>
              </w:rPr>
              <w:t>Investment Grade</w:t>
            </w:r>
          </w:p>
        </w:tc>
        <w:tc>
          <w:tcPr>
            <w:tcW w:w="1390" w:type="dxa"/>
          </w:tcPr>
          <w:p w14:paraId="66F8DAB2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60" w:type="dxa"/>
          </w:tcPr>
          <w:p w14:paraId="73EADB6B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Cs/>
                <w:color w:val="002060"/>
                <w:szCs w:val="26"/>
              </w:rPr>
              <w:t>o</w:t>
            </w:r>
          </w:p>
        </w:tc>
        <w:tc>
          <w:tcPr>
            <w:tcW w:w="1337" w:type="dxa"/>
          </w:tcPr>
          <w:p w14:paraId="13F08246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96" w:type="dxa"/>
          </w:tcPr>
          <w:p w14:paraId="0CC26836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06" w:type="dxa"/>
          </w:tcPr>
          <w:p w14:paraId="19249C9D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504" w:type="dxa"/>
          </w:tcPr>
          <w:p w14:paraId="2C98E0F8" w14:textId="77777777" w:rsidR="003E228E" w:rsidRPr="0022580A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B050"/>
                <w:szCs w:val="26"/>
              </w:rPr>
            </w:pPr>
          </w:p>
        </w:tc>
      </w:tr>
      <w:tr w:rsidR="003E228E" w:rsidRPr="00D428C0" w14:paraId="535D9FD1" w14:textId="77777777" w:rsidTr="005F6680">
        <w:tc>
          <w:tcPr>
            <w:tcW w:w="2880" w:type="dxa"/>
          </w:tcPr>
          <w:p w14:paraId="6672A4D1" w14:textId="77777777" w:rsidR="003E228E" w:rsidRPr="006D1894" w:rsidRDefault="003E228E" w:rsidP="003E228E">
            <w:pPr>
              <w:keepNext/>
              <w:keepLines/>
              <w:ind w:left="517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6D1894">
              <w:rPr>
                <w:rFonts w:eastAsiaTheme="majorEastAsia" w:cstheme="majorBidi"/>
                <w:bCs/>
                <w:color w:val="002060"/>
                <w:szCs w:val="26"/>
              </w:rPr>
              <w:t>High Yield</w:t>
            </w:r>
          </w:p>
        </w:tc>
        <w:tc>
          <w:tcPr>
            <w:tcW w:w="1390" w:type="dxa"/>
          </w:tcPr>
          <w:p w14:paraId="5729E53A" w14:textId="77777777" w:rsidR="003E228E" w:rsidRPr="00D428C0" w:rsidRDefault="00C26524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Cs/>
                <w:color w:val="002060"/>
                <w:szCs w:val="26"/>
              </w:rPr>
              <w:t>o</w:t>
            </w:r>
          </w:p>
        </w:tc>
        <w:tc>
          <w:tcPr>
            <w:tcW w:w="1160" w:type="dxa"/>
          </w:tcPr>
          <w:p w14:paraId="7D4BD335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337" w:type="dxa"/>
          </w:tcPr>
          <w:p w14:paraId="60F2A318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96" w:type="dxa"/>
          </w:tcPr>
          <w:p w14:paraId="5767BFE3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06" w:type="dxa"/>
          </w:tcPr>
          <w:p w14:paraId="42393E15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504" w:type="dxa"/>
          </w:tcPr>
          <w:p w14:paraId="290F8492" w14:textId="77777777" w:rsidR="003E228E" w:rsidRPr="0022580A" w:rsidRDefault="00C26524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B050"/>
                <w:szCs w:val="26"/>
              </w:rPr>
            </w:pPr>
            <w:r w:rsidRPr="00F2288C">
              <w:rPr>
                <w:rFonts w:eastAsiaTheme="majorEastAsia" w:cstheme="majorBidi"/>
                <w:bCs/>
                <w:color w:val="FF0000"/>
                <w:szCs w:val="26"/>
              </w:rPr>
              <w:t>↓</w:t>
            </w:r>
          </w:p>
        </w:tc>
      </w:tr>
      <w:tr w:rsidR="003E228E" w:rsidRPr="00D428C0" w14:paraId="51CC2AA4" w14:textId="77777777" w:rsidTr="005F6680">
        <w:tc>
          <w:tcPr>
            <w:tcW w:w="2880" w:type="dxa"/>
          </w:tcPr>
          <w:p w14:paraId="49C8F968" w14:textId="77777777" w:rsidR="003E228E" w:rsidRPr="006D1894" w:rsidRDefault="003E228E" w:rsidP="003E228E">
            <w:pPr>
              <w:keepNext/>
              <w:keepLines/>
              <w:ind w:left="517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6D1894">
              <w:rPr>
                <w:rFonts w:eastAsiaTheme="majorEastAsia" w:cstheme="majorBidi"/>
                <w:bCs/>
                <w:color w:val="002060"/>
                <w:szCs w:val="26"/>
              </w:rPr>
              <w:t>Bank Loans</w:t>
            </w:r>
          </w:p>
        </w:tc>
        <w:tc>
          <w:tcPr>
            <w:tcW w:w="1390" w:type="dxa"/>
          </w:tcPr>
          <w:p w14:paraId="3E14D483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60" w:type="dxa"/>
          </w:tcPr>
          <w:p w14:paraId="4029753D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Cs/>
                <w:color w:val="002060"/>
                <w:szCs w:val="26"/>
              </w:rPr>
              <w:t>o</w:t>
            </w:r>
          </w:p>
        </w:tc>
        <w:tc>
          <w:tcPr>
            <w:tcW w:w="1337" w:type="dxa"/>
          </w:tcPr>
          <w:p w14:paraId="11838239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96" w:type="dxa"/>
          </w:tcPr>
          <w:p w14:paraId="7D278F1B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06" w:type="dxa"/>
          </w:tcPr>
          <w:p w14:paraId="71AA0D2B" w14:textId="77777777" w:rsidR="003E228E" w:rsidRPr="00D428C0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504" w:type="dxa"/>
          </w:tcPr>
          <w:p w14:paraId="23C82F52" w14:textId="77777777" w:rsidR="003E228E" w:rsidRPr="0022580A" w:rsidRDefault="003E228E" w:rsidP="003E228E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B050"/>
                <w:szCs w:val="26"/>
              </w:rPr>
            </w:pPr>
          </w:p>
        </w:tc>
      </w:tr>
      <w:tr w:rsidR="00C26524" w:rsidRPr="00D428C0" w14:paraId="73C6A83A" w14:textId="77777777" w:rsidTr="005F6680">
        <w:tc>
          <w:tcPr>
            <w:tcW w:w="2880" w:type="dxa"/>
          </w:tcPr>
          <w:p w14:paraId="208CA4DB" w14:textId="77777777" w:rsidR="00C26524" w:rsidRPr="006D1894" w:rsidRDefault="00C26524" w:rsidP="00C26524">
            <w:pPr>
              <w:keepNext/>
              <w:keepLines/>
              <w:ind w:left="517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6D1894">
              <w:rPr>
                <w:rFonts w:eastAsiaTheme="majorEastAsia" w:cstheme="majorBidi"/>
                <w:bCs/>
                <w:color w:val="002060"/>
                <w:szCs w:val="26"/>
              </w:rPr>
              <w:t>EMD $</w:t>
            </w:r>
          </w:p>
        </w:tc>
        <w:tc>
          <w:tcPr>
            <w:tcW w:w="1390" w:type="dxa"/>
          </w:tcPr>
          <w:p w14:paraId="4E9D1FC7" w14:textId="77777777" w:rsidR="00C26524" w:rsidRPr="00D428C0" w:rsidRDefault="00C26524" w:rsidP="00C26524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60" w:type="dxa"/>
          </w:tcPr>
          <w:p w14:paraId="7CD8F44C" w14:textId="77777777" w:rsidR="00C26524" w:rsidRPr="00D428C0" w:rsidRDefault="00C26524" w:rsidP="00C26524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Cs/>
                <w:color w:val="002060"/>
                <w:szCs w:val="26"/>
              </w:rPr>
              <w:t>o</w:t>
            </w:r>
          </w:p>
        </w:tc>
        <w:tc>
          <w:tcPr>
            <w:tcW w:w="1337" w:type="dxa"/>
          </w:tcPr>
          <w:p w14:paraId="2A21141A" w14:textId="77777777" w:rsidR="00C26524" w:rsidRPr="00D428C0" w:rsidRDefault="00C26524" w:rsidP="00C26524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96" w:type="dxa"/>
          </w:tcPr>
          <w:p w14:paraId="520CF319" w14:textId="77777777" w:rsidR="00C26524" w:rsidRPr="00D428C0" w:rsidRDefault="00C26524" w:rsidP="00C26524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06" w:type="dxa"/>
          </w:tcPr>
          <w:p w14:paraId="55D6F520" w14:textId="77777777" w:rsidR="00C26524" w:rsidRPr="00D428C0" w:rsidRDefault="00C26524" w:rsidP="00C26524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504" w:type="dxa"/>
          </w:tcPr>
          <w:p w14:paraId="3286ADCF" w14:textId="29D7E681" w:rsidR="00C26524" w:rsidRPr="00D428C0" w:rsidRDefault="00942BBC" w:rsidP="00C26524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22580A">
              <w:rPr>
                <w:rFonts w:eastAsiaTheme="majorEastAsia" w:cstheme="majorBidi"/>
                <w:bCs/>
                <w:color w:val="00B050"/>
                <w:szCs w:val="26"/>
              </w:rPr>
              <w:t>↑</w:t>
            </w:r>
          </w:p>
        </w:tc>
      </w:tr>
      <w:tr w:rsidR="00C26524" w:rsidRPr="00D428C0" w14:paraId="014D2B67" w14:textId="77777777" w:rsidTr="005F6680">
        <w:tc>
          <w:tcPr>
            <w:tcW w:w="2880" w:type="dxa"/>
          </w:tcPr>
          <w:p w14:paraId="2730A498" w14:textId="77777777" w:rsidR="00C26524" w:rsidRPr="006D1894" w:rsidRDefault="00C26524" w:rsidP="00C26524">
            <w:pPr>
              <w:keepNext/>
              <w:keepLines/>
              <w:ind w:left="517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6D1894">
              <w:rPr>
                <w:rFonts w:eastAsiaTheme="majorEastAsia" w:cstheme="majorBidi"/>
                <w:bCs/>
                <w:color w:val="002060"/>
                <w:szCs w:val="26"/>
              </w:rPr>
              <w:t>EMD Local</w:t>
            </w:r>
          </w:p>
        </w:tc>
        <w:tc>
          <w:tcPr>
            <w:tcW w:w="1390" w:type="dxa"/>
          </w:tcPr>
          <w:p w14:paraId="102727E0" w14:textId="77777777" w:rsidR="00C26524" w:rsidRPr="00D428C0" w:rsidRDefault="00C26524" w:rsidP="00C26524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60" w:type="dxa"/>
          </w:tcPr>
          <w:p w14:paraId="493168E2" w14:textId="77777777" w:rsidR="00C26524" w:rsidRPr="00D428C0" w:rsidRDefault="00C26524" w:rsidP="00C26524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D428C0">
              <w:rPr>
                <w:rFonts w:eastAsiaTheme="majorEastAsia" w:cstheme="majorBidi"/>
                <w:bCs/>
                <w:color w:val="002060"/>
                <w:szCs w:val="26"/>
              </w:rPr>
              <w:t>o</w:t>
            </w:r>
          </w:p>
        </w:tc>
        <w:tc>
          <w:tcPr>
            <w:tcW w:w="1337" w:type="dxa"/>
          </w:tcPr>
          <w:p w14:paraId="07917BE6" w14:textId="77777777" w:rsidR="00C26524" w:rsidRPr="00D428C0" w:rsidRDefault="00C26524" w:rsidP="00C26524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96" w:type="dxa"/>
          </w:tcPr>
          <w:p w14:paraId="734AD934" w14:textId="77777777" w:rsidR="00C26524" w:rsidRPr="00D428C0" w:rsidRDefault="00C26524" w:rsidP="00C26524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106" w:type="dxa"/>
          </w:tcPr>
          <w:p w14:paraId="197B9801" w14:textId="77777777" w:rsidR="00C26524" w:rsidRPr="00D428C0" w:rsidRDefault="00C26524" w:rsidP="00C26524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</w:p>
        </w:tc>
        <w:tc>
          <w:tcPr>
            <w:tcW w:w="1504" w:type="dxa"/>
          </w:tcPr>
          <w:p w14:paraId="3583186F" w14:textId="1BFBD258" w:rsidR="00C26524" w:rsidRPr="00D428C0" w:rsidRDefault="00942BBC" w:rsidP="00C26524">
            <w:pPr>
              <w:keepNext/>
              <w:keepLines/>
              <w:jc w:val="center"/>
              <w:outlineLvl w:val="1"/>
              <w:rPr>
                <w:rFonts w:eastAsiaTheme="majorEastAsia" w:cstheme="majorBidi"/>
                <w:bCs/>
                <w:color w:val="002060"/>
                <w:szCs w:val="26"/>
              </w:rPr>
            </w:pPr>
            <w:r w:rsidRPr="0022580A">
              <w:rPr>
                <w:rFonts w:eastAsiaTheme="majorEastAsia" w:cstheme="majorBidi"/>
                <w:bCs/>
                <w:color w:val="00B050"/>
                <w:szCs w:val="26"/>
              </w:rPr>
              <w:t>↑</w:t>
            </w:r>
          </w:p>
        </w:tc>
      </w:tr>
    </w:tbl>
    <w:p w14:paraId="0886B011" w14:textId="77777777" w:rsidR="009B0193" w:rsidRDefault="009B0193" w:rsidP="00D8679B">
      <w:pPr>
        <w:spacing w:after="0" w:line="240" w:lineRule="auto"/>
      </w:pPr>
    </w:p>
    <w:tbl>
      <w:tblPr>
        <w:tblStyle w:val="LightLis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40"/>
      </w:tblGrid>
      <w:tr w:rsidR="00456D51" w14:paraId="222D7433" w14:textId="77777777" w:rsidTr="00A91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21D1EA5" w14:textId="77777777" w:rsidR="00456D51" w:rsidRPr="00A91FD0" w:rsidRDefault="00A91FD0" w:rsidP="0020617F">
            <w:pPr>
              <w:pStyle w:val="NoSpacing"/>
              <w:jc w:val="center"/>
              <w:rPr>
                <w:sz w:val="28"/>
              </w:rPr>
            </w:pPr>
            <w:r w:rsidRPr="00A91FD0">
              <w:rPr>
                <w:sz w:val="28"/>
              </w:rPr>
              <w:t>Equities</w:t>
            </w:r>
            <w:r w:rsidR="0020617F">
              <w:rPr>
                <w:sz w:val="28"/>
              </w:rPr>
              <w:t xml:space="preserve"> – Key Takeaways</w:t>
            </w:r>
          </w:p>
        </w:tc>
      </w:tr>
      <w:tr w:rsidR="00456D51" w14:paraId="00C1F4D0" w14:textId="77777777" w:rsidTr="00A91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4CF98F7" w14:textId="77777777" w:rsidR="00A91FD0" w:rsidRPr="000F35B5" w:rsidRDefault="00A91FD0" w:rsidP="00A91FD0">
            <w:pPr>
              <w:pStyle w:val="NoSpacing"/>
            </w:pPr>
            <w:r w:rsidRPr="000F35B5">
              <w:t>U.S. Large Cap Equities:</w:t>
            </w:r>
          </w:p>
          <w:p w14:paraId="4BBCE288" w14:textId="08CCEAD4" w:rsidR="000F35B5" w:rsidRPr="000F35B5" w:rsidRDefault="000F35B5" w:rsidP="009F39DA">
            <w:pPr>
              <w:pStyle w:val="NoSpacing"/>
              <w:numPr>
                <w:ilvl w:val="0"/>
                <w:numId w:val="36"/>
              </w:numPr>
            </w:pPr>
            <w:r w:rsidRPr="000F35B5">
              <w:rPr>
                <w:b w:val="0"/>
              </w:rPr>
              <w:t>Federal Reserve decided to keep rates unchanged.</w:t>
            </w:r>
          </w:p>
          <w:p w14:paraId="2FD64A3F" w14:textId="4652EE9E" w:rsidR="000F35B5" w:rsidRPr="00DB07F8" w:rsidRDefault="000F35B5" w:rsidP="009F39DA">
            <w:pPr>
              <w:pStyle w:val="NoSpacing"/>
              <w:numPr>
                <w:ilvl w:val="0"/>
                <w:numId w:val="36"/>
              </w:numPr>
              <w:rPr>
                <w:b w:val="0"/>
              </w:rPr>
            </w:pPr>
            <w:r w:rsidRPr="000F35B5">
              <w:rPr>
                <w:b w:val="0"/>
              </w:rPr>
              <w:t xml:space="preserve">Consumer </w:t>
            </w:r>
            <w:r w:rsidRPr="00DB07F8">
              <w:rPr>
                <w:b w:val="0"/>
              </w:rPr>
              <w:t>Confidence climbed to 103.0 in September as unemployment fell to 5.1%.</w:t>
            </w:r>
          </w:p>
          <w:p w14:paraId="42A6F5ED" w14:textId="284B5FF6" w:rsidR="00A91FD0" w:rsidRPr="00DB07F8" w:rsidRDefault="00A91FD0" w:rsidP="000F35B5">
            <w:pPr>
              <w:pStyle w:val="NoSpacing"/>
            </w:pPr>
            <w:r w:rsidRPr="00DB07F8">
              <w:t>U.S. Small Cap Equities:</w:t>
            </w:r>
          </w:p>
          <w:p w14:paraId="59D292FC" w14:textId="23A3ECBB" w:rsidR="00D12D8F" w:rsidRPr="00D12D8F" w:rsidRDefault="00D12D8F" w:rsidP="00D12D8F">
            <w:pPr>
              <w:pStyle w:val="ListParagraph"/>
              <w:numPr>
                <w:ilvl w:val="0"/>
                <w:numId w:val="36"/>
              </w:numPr>
              <w:rPr>
                <w:b w:val="0"/>
              </w:rPr>
            </w:pPr>
            <w:r w:rsidRPr="00D12D8F">
              <w:rPr>
                <w:b w:val="0"/>
              </w:rPr>
              <w:t>Russell 2000 P/E (NTM) was 23.2x (1.3 standard deviations above 5-yr average of 19.6).</w:t>
            </w:r>
          </w:p>
          <w:p w14:paraId="706ACB44" w14:textId="582C512A" w:rsidR="000701AD" w:rsidRPr="000701AD" w:rsidRDefault="000701AD" w:rsidP="000701AD">
            <w:pPr>
              <w:pStyle w:val="NoSpacing"/>
              <w:numPr>
                <w:ilvl w:val="0"/>
                <w:numId w:val="36"/>
              </w:numPr>
            </w:pPr>
            <w:r w:rsidRPr="000701AD">
              <w:rPr>
                <w:b w:val="0"/>
              </w:rPr>
              <w:t>S</w:t>
            </w:r>
            <w:r w:rsidR="00834D4D">
              <w:rPr>
                <w:b w:val="0"/>
              </w:rPr>
              <w:t xml:space="preserve">MID Cap equities </w:t>
            </w:r>
            <w:r w:rsidR="00257601">
              <w:rPr>
                <w:b w:val="0"/>
              </w:rPr>
              <w:t>earnings growth</w:t>
            </w:r>
            <w:r w:rsidRPr="000701AD">
              <w:rPr>
                <w:b w:val="0"/>
              </w:rPr>
              <w:t xml:space="preserve"> </w:t>
            </w:r>
            <w:r w:rsidR="00D54109">
              <w:rPr>
                <w:b w:val="0"/>
              </w:rPr>
              <w:t xml:space="preserve">at </w:t>
            </w:r>
            <w:r w:rsidRPr="000701AD">
              <w:rPr>
                <w:b w:val="0"/>
              </w:rPr>
              <w:t xml:space="preserve">14.7% vs. 21.5% </w:t>
            </w:r>
            <w:r w:rsidR="001F2189">
              <w:rPr>
                <w:b w:val="0"/>
              </w:rPr>
              <w:t xml:space="preserve">one year ago. </w:t>
            </w:r>
          </w:p>
          <w:p w14:paraId="07807BBB" w14:textId="4C04E4F7" w:rsidR="00A91FD0" w:rsidRPr="00D36B0B" w:rsidRDefault="00E04D34" w:rsidP="000701AD">
            <w:pPr>
              <w:pStyle w:val="NoSpacing"/>
            </w:pPr>
            <w:r w:rsidRPr="00D36B0B">
              <w:t>D</w:t>
            </w:r>
            <w:r w:rsidR="00A91FD0" w:rsidRPr="00D36B0B">
              <w:t>eveloped Non-U.S. Equities:</w:t>
            </w:r>
          </w:p>
          <w:p w14:paraId="4FC54F16" w14:textId="77777777" w:rsidR="009F39DA" w:rsidRPr="009F39DA" w:rsidRDefault="009F39DA" w:rsidP="009F39DA">
            <w:pPr>
              <w:pStyle w:val="ListParagraph"/>
              <w:numPr>
                <w:ilvl w:val="0"/>
                <w:numId w:val="42"/>
              </w:numPr>
              <w:rPr>
                <w:b w:val="0"/>
              </w:rPr>
            </w:pPr>
            <w:r w:rsidRPr="009F39DA">
              <w:rPr>
                <w:b w:val="0"/>
              </w:rPr>
              <w:t>Real GDP growth in the Eurozone rose to 1.7% in 3Q15 vs. 1.5% in 2Q15.</w:t>
            </w:r>
          </w:p>
          <w:p w14:paraId="7C1276D0" w14:textId="6761318B" w:rsidR="009F39DA" w:rsidRPr="009F39DA" w:rsidRDefault="009F39DA" w:rsidP="009F39DA">
            <w:pPr>
              <w:pStyle w:val="ListParagraph"/>
              <w:numPr>
                <w:ilvl w:val="0"/>
                <w:numId w:val="36"/>
              </w:numPr>
              <w:rPr>
                <w:b w:val="0"/>
              </w:rPr>
            </w:pPr>
            <w:r w:rsidRPr="009F39DA">
              <w:rPr>
                <w:b w:val="0"/>
              </w:rPr>
              <w:t xml:space="preserve">Weak demand in China hurts Japanese exporters. </w:t>
            </w:r>
          </w:p>
          <w:p w14:paraId="4FB9855F" w14:textId="77777777" w:rsidR="00456D51" w:rsidRPr="00D36B0B" w:rsidRDefault="00A91FD0" w:rsidP="00E04D34">
            <w:pPr>
              <w:pStyle w:val="NoSpacing"/>
            </w:pPr>
            <w:r w:rsidRPr="00D36B0B">
              <w:t xml:space="preserve">Emerging Markets Equity: </w:t>
            </w:r>
          </w:p>
          <w:p w14:paraId="41C20446" w14:textId="10428DB0" w:rsidR="009F39DA" w:rsidRPr="009F39DA" w:rsidRDefault="009F39DA" w:rsidP="009F39DA">
            <w:pPr>
              <w:pStyle w:val="ListParagraph"/>
              <w:numPr>
                <w:ilvl w:val="0"/>
                <w:numId w:val="36"/>
              </w:numPr>
              <w:rPr>
                <w:b w:val="0"/>
              </w:rPr>
            </w:pPr>
            <w:r w:rsidRPr="009F39DA">
              <w:rPr>
                <w:b w:val="0"/>
              </w:rPr>
              <w:t>Surprise devaluation of t</w:t>
            </w:r>
            <w:r w:rsidR="00982AE2">
              <w:rPr>
                <w:b w:val="0"/>
              </w:rPr>
              <w:t xml:space="preserve">he Chinese Yuan in August sent EM </w:t>
            </w:r>
            <w:r w:rsidRPr="009F39DA">
              <w:rPr>
                <w:b w:val="0"/>
              </w:rPr>
              <w:t xml:space="preserve">markets reeling. </w:t>
            </w:r>
          </w:p>
          <w:p w14:paraId="450F8DDB" w14:textId="2CACAC3E" w:rsidR="00E04D34" w:rsidRPr="00E04D34" w:rsidRDefault="00982AE2" w:rsidP="009F39DA">
            <w:pPr>
              <w:pStyle w:val="NoSpacing"/>
              <w:numPr>
                <w:ilvl w:val="0"/>
                <w:numId w:val="36"/>
              </w:numPr>
            </w:pPr>
            <w:r>
              <w:rPr>
                <w:b w:val="0"/>
              </w:rPr>
              <w:t>Brazilian President Rousseff implicated in corruption scandal. S&amp;P downgrades Brazilian debt to junk.</w:t>
            </w:r>
          </w:p>
        </w:tc>
      </w:tr>
    </w:tbl>
    <w:p w14:paraId="2BD97268" w14:textId="77777777" w:rsidR="00A91FD0" w:rsidRDefault="00A91FD0" w:rsidP="00456D51">
      <w:pPr>
        <w:pStyle w:val="NoSpacing"/>
      </w:pPr>
    </w:p>
    <w:tbl>
      <w:tblPr>
        <w:tblStyle w:val="LightLis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40"/>
      </w:tblGrid>
      <w:tr w:rsidR="00A91FD0" w:rsidRPr="00C502F7" w14:paraId="2EC10980" w14:textId="77777777" w:rsidTr="00A91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006C504" w14:textId="77777777" w:rsidR="00A91FD0" w:rsidRPr="00C502F7" w:rsidRDefault="00A91FD0" w:rsidP="0020617F">
            <w:pPr>
              <w:pStyle w:val="NoSpacing"/>
              <w:jc w:val="center"/>
              <w:rPr>
                <w:sz w:val="28"/>
                <w:szCs w:val="28"/>
              </w:rPr>
            </w:pPr>
            <w:r w:rsidRPr="00C502F7">
              <w:rPr>
                <w:sz w:val="28"/>
                <w:szCs w:val="28"/>
              </w:rPr>
              <w:t>Fixed Income</w:t>
            </w:r>
            <w:r w:rsidR="0020617F" w:rsidRPr="00C502F7">
              <w:rPr>
                <w:sz w:val="28"/>
                <w:szCs w:val="28"/>
              </w:rPr>
              <w:t xml:space="preserve"> – Key Takeaways</w:t>
            </w:r>
          </w:p>
        </w:tc>
      </w:tr>
      <w:tr w:rsidR="00A91FD0" w:rsidRPr="00C502F7" w14:paraId="1D788FA2" w14:textId="77777777" w:rsidTr="00A91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E9649F8" w14:textId="77777777" w:rsidR="00A91FD0" w:rsidRPr="00961310" w:rsidRDefault="00A91FD0" w:rsidP="00A91FD0">
            <w:pPr>
              <w:pStyle w:val="NoSpacing"/>
            </w:pPr>
            <w:r w:rsidRPr="00961310">
              <w:t>Rates &amp; Spreads:</w:t>
            </w:r>
          </w:p>
          <w:p w14:paraId="26A07A19" w14:textId="77777777" w:rsidR="00961310" w:rsidRPr="00961310" w:rsidRDefault="00961310" w:rsidP="00961310">
            <w:pPr>
              <w:pStyle w:val="ListParagraph"/>
              <w:numPr>
                <w:ilvl w:val="0"/>
                <w:numId w:val="37"/>
              </w:numPr>
              <w:rPr>
                <w:b w:val="0"/>
              </w:rPr>
            </w:pPr>
            <w:r w:rsidRPr="00961310">
              <w:rPr>
                <w:b w:val="0"/>
              </w:rPr>
              <w:t>Front end rates are above their 5yr averages while long end rates remain lower than average.</w:t>
            </w:r>
          </w:p>
          <w:p w14:paraId="7578E41A" w14:textId="77777777" w:rsidR="00961310" w:rsidRPr="00961310" w:rsidRDefault="00961310" w:rsidP="00961310">
            <w:pPr>
              <w:pStyle w:val="ListParagraph"/>
              <w:numPr>
                <w:ilvl w:val="0"/>
                <w:numId w:val="37"/>
              </w:numPr>
              <w:rPr>
                <w:b w:val="0"/>
              </w:rPr>
            </w:pPr>
            <w:r w:rsidRPr="00961310">
              <w:rPr>
                <w:b w:val="0"/>
              </w:rPr>
              <w:t>All spread sectors have widened on the quarter and are wider than their 5yr averages</w:t>
            </w:r>
          </w:p>
          <w:p w14:paraId="39D39D2D" w14:textId="77777777" w:rsidR="00961310" w:rsidRPr="00961310" w:rsidRDefault="00961310" w:rsidP="00961310">
            <w:pPr>
              <w:pStyle w:val="ListParagraph"/>
              <w:numPr>
                <w:ilvl w:val="0"/>
                <w:numId w:val="37"/>
              </w:numPr>
              <w:rPr>
                <w:b w:val="0"/>
              </w:rPr>
            </w:pPr>
            <w:r w:rsidRPr="00961310">
              <w:rPr>
                <w:b w:val="0"/>
              </w:rPr>
              <w:t>Fed’s reluctance to raise rates in September indicates that US economy is not on a self-sustained path to recovery.</w:t>
            </w:r>
          </w:p>
          <w:p w14:paraId="06419833" w14:textId="77777777" w:rsidR="00E04D34" w:rsidRPr="00961310" w:rsidRDefault="00961310" w:rsidP="00961310">
            <w:pPr>
              <w:pStyle w:val="ListParagraph"/>
              <w:numPr>
                <w:ilvl w:val="0"/>
                <w:numId w:val="37"/>
              </w:numPr>
              <w:rPr>
                <w:b w:val="0"/>
              </w:rPr>
            </w:pPr>
            <w:r w:rsidRPr="00961310">
              <w:rPr>
                <w:b w:val="0"/>
              </w:rPr>
              <w:t>For this reason we remain caution on spread sectors despite their valuations.</w:t>
            </w:r>
          </w:p>
        </w:tc>
      </w:tr>
    </w:tbl>
    <w:tbl>
      <w:tblPr>
        <w:tblStyle w:val="LightList-Accent11"/>
        <w:tblW w:w="10458" w:type="dxa"/>
        <w:jc w:val="center"/>
        <w:tblLook w:val="04A0" w:firstRow="1" w:lastRow="0" w:firstColumn="1" w:lastColumn="0" w:noHBand="0" w:noVBand="1"/>
      </w:tblPr>
      <w:tblGrid>
        <w:gridCol w:w="2988"/>
        <w:gridCol w:w="3690"/>
        <w:gridCol w:w="270"/>
        <w:gridCol w:w="3510"/>
      </w:tblGrid>
      <w:tr w:rsidR="0009083B" w:rsidRPr="00CC0BB3" w14:paraId="6768B365" w14:textId="77777777" w:rsidTr="008F0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52AE8AF" w14:textId="77777777" w:rsidR="0009083B" w:rsidRPr="00CC0BB3" w:rsidRDefault="0009083B" w:rsidP="008F058F">
            <w:pPr>
              <w:rPr>
                <w:sz w:val="28"/>
              </w:rPr>
            </w:pPr>
            <w:r w:rsidRPr="00CC0BB3">
              <w:rPr>
                <w:sz w:val="28"/>
              </w:rPr>
              <w:lastRenderedPageBreak/>
              <w:t>Public Equities</w:t>
            </w:r>
          </w:p>
        </w:tc>
        <w:tc>
          <w:tcPr>
            <w:tcW w:w="3690" w:type="dxa"/>
          </w:tcPr>
          <w:p w14:paraId="4A2D4935" w14:textId="77777777" w:rsidR="0009083B" w:rsidRPr="00CC0BB3" w:rsidRDefault="0009083B" w:rsidP="008F058F">
            <w:pPr>
              <w:ind w:left="-198" w:firstLine="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dxa"/>
          </w:tcPr>
          <w:p w14:paraId="465E429B" w14:textId="77777777" w:rsidR="0009083B" w:rsidRPr="00CC0BB3" w:rsidRDefault="0009083B" w:rsidP="008F0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14:paraId="292E11AC" w14:textId="77777777" w:rsidR="0009083B" w:rsidRPr="00CC0BB3" w:rsidRDefault="008C1291" w:rsidP="001721B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21BA">
              <w:rPr>
                <w:sz w:val="28"/>
              </w:rPr>
              <w:t>$2</w:t>
            </w:r>
            <w:r w:rsidR="001721BA" w:rsidRPr="001721BA">
              <w:rPr>
                <w:sz w:val="28"/>
              </w:rPr>
              <w:t>4.5</w:t>
            </w:r>
            <w:r w:rsidRPr="001721BA">
              <w:rPr>
                <w:sz w:val="28"/>
              </w:rPr>
              <w:t xml:space="preserve"> </w:t>
            </w:r>
            <w:proofErr w:type="spellStart"/>
            <w:r w:rsidRPr="001721BA">
              <w:rPr>
                <w:sz w:val="28"/>
              </w:rPr>
              <w:t>bn</w:t>
            </w:r>
            <w:proofErr w:type="spellEnd"/>
            <w:r w:rsidRPr="001721BA">
              <w:rPr>
                <w:sz w:val="28"/>
              </w:rPr>
              <w:t xml:space="preserve"> / 4</w:t>
            </w:r>
            <w:r w:rsidR="001721BA" w:rsidRPr="001721BA">
              <w:rPr>
                <w:sz w:val="28"/>
              </w:rPr>
              <w:t>1.8</w:t>
            </w:r>
            <w:r w:rsidR="0009083B" w:rsidRPr="001721BA">
              <w:rPr>
                <w:sz w:val="28"/>
              </w:rPr>
              <w:t>% of Fund</w:t>
            </w:r>
          </w:p>
        </w:tc>
      </w:tr>
    </w:tbl>
    <w:tbl>
      <w:tblPr>
        <w:tblStyle w:val="LightShading-Accent5"/>
        <w:tblW w:w="10458" w:type="dxa"/>
        <w:jc w:val="center"/>
        <w:tblLook w:val="04A0" w:firstRow="1" w:lastRow="0" w:firstColumn="1" w:lastColumn="0" w:noHBand="0" w:noVBand="1"/>
      </w:tblPr>
      <w:tblGrid>
        <w:gridCol w:w="2898"/>
        <w:gridCol w:w="3330"/>
        <w:gridCol w:w="270"/>
        <w:gridCol w:w="3960"/>
      </w:tblGrid>
      <w:tr w:rsidR="0009083B" w:rsidRPr="00CC0BB3" w14:paraId="575E9137" w14:textId="77777777" w:rsidTr="008F0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6B72792" w14:textId="77777777" w:rsidR="0009083B" w:rsidRPr="00F26C80" w:rsidRDefault="0009083B" w:rsidP="008F058F">
            <w:r w:rsidRPr="00F26C80">
              <w:t>U.S. Large Cap Equities</w:t>
            </w:r>
          </w:p>
        </w:tc>
        <w:tc>
          <w:tcPr>
            <w:tcW w:w="3330" w:type="dxa"/>
          </w:tcPr>
          <w:p w14:paraId="2B75EBE0" w14:textId="77777777" w:rsidR="0009083B" w:rsidRPr="00F26C80" w:rsidRDefault="0009083B" w:rsidP="008F0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6C80">
              <w:rPr>
                <w:color w:val="auto"/>
              </w:rPr>
              <w:t>NEUTRAL</w:t>
            </w:r>
          </w:p>
        </w:tc>
        <w:tc>
          <w:tcPr>
            <w:tcW w:w="270" w:type="dxa"/>
          </w:tcPr>
          <w:p w14:paraId="65E6B010" w14:textId="77777777" w:rsidR="0009083B" w:rsidRPr="00CC0BB3" w:rsidRDefault="0009083B" w:rsidP="008F0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5DFD3EC9" w14:textId="77777777" w:rsidR="0009083B" w:rsidRPr="00CC0BB3" w:rsidRDefault="0009083B" w:rsidP="001721B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1BA">
              <w:t>$</w:t>
            </w:r>
            <w:r w:rsidR="001721BA" w:rsidRPr="001721BA">
              <w:t>8.7</w:t>
            </w:r>
            <w:r w:rsidRPr="001721BA">
              <w:t xml:space="preserve"> </w:t>
            </w:r>
            <w:proofErr w:type="spellStart"/>
            <w:r w:rsidRPr="001721BA">
              <w:t>bn</w:t>
            </w:r>
            <w:proofErr w:type="spellEnd"/>
            <w:r w:rsidRPr="001721BA">
              <w:t xml:space="preserve"> / 1</w:t>
            </w:r>
            <w:r w:rsidR="001721BA" w:rsidRPr="001721BA">
              <w:t>4.8</w:t>
            </w:r>
            <w:r w:rsidRPr="001721BA">
              <w:t>% of Fund</w:t>
            </w:r>
            <w:r w:rsidRPr="00CC0BB3">
              <w:t xml:space="preserve"> </w:t>
            </w:r>
          </w:p>
        </w:tc>
      </w:tr>
    </w:tbl>
    <w:p w14:paraId="61F5CFE8" w14:textId="77777777" w:rsidR="0009083B" w:rsidRPr="002D19CB" w:rsidRDefault="0009083B" w:rsidP="0009083B">
      <w:pPr>
        <w:spacing w:after="0" w:line="240" w:lineRule="auto"/>
        <w:ind w:left="360"/>
      </w:pPr>
      <w:r w:rsidRPr="00CC0BB3">
        <w:t>Market Data &amp; Indicators</w:t>
      </w:r>
    </w:p>
    <w:p w14:paraId="2E35EAD2" w14:textId="77777777" w:rsidR="0009083B" w:rsidRPr="003569C5" w:rsidRDefault="0009083B" w:rsidP="0009083B">
      <w:pPr>
        <w:numPr>
          <w:ilvl w:val="0"/>
          <w:numId w:val="1"/>
        </w:numPr>
        <w:spacing w:after="0" w:line="240" w:lineRule="auto"/>
        <w:contextualSpacing/>
      </w:pPr>
      <w:r w:rsidRPr="002D19CB">
        <w:t>Macro:</w:t>
      </w:r>
      <w:r w:rsidRPr="002D19CB">
        <w:tab/>
      </w:r>
      <w:r w:rsidRPr="002D19CB">
        <w:tab/>
      </w:r>
      <w:r w:rsidRPr="002D19CB">
        <w:rPr>
          <w:b/>
        </w:rPr>
        <w:tab/>
      </w:r>
      <w:r w:rsidR="00C04364" w:rsidRPr="003569C5">
        <w:rPr>
          <w:b/>
        </w:rPr>
        <w:t xml:space="preserve">NEUTRAL to </w:t>
      </w:r>
      <w:r w:rsidR="00C04364" w:rsidRPr="003569C5">
        <w:rPr>
          <w:b/>
          <w:color w:val="00B050"/>
        </w:rPr>
        <w:t>POSITIVE</w:t>
      </w:r>
    </w:p>
    <w:p w14:paraId="657E5793" w14:textId="77777777" w:rsidR="0009083B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3569C5">
        <w:t xml:space="preserve">U.S. Large Cap Equities </w:t>
      </w:r>
      <w:r w:rsidR="00B03DE6" w:rsidRPr="003569C5">
        <w:t>fell -6.4%</w:t>
      </w:r>
      <w:r w:rsidRPr="003569C5">
        <w:t xml:space="preserve"> in </w:t>
      </w:r>
      <w:r w:rsidR="00B03DE6" w:rsidRPr="003569C5">
        <w:t>3Q15 as investors reacted to events in China.</w:t>
      </w:r>
    </w:p>
    <w:p w14:paraId="3AF281B6" w14:textId="77777777" w:rsidR="00830C96" w:rsidRDefault="00830C96" w:rsidP="00830C96">
      <w:pPr>
        <w:numPr>
          <w:ilvl w:val="0"/>
          <w:numId w:val="2"/>
        </w:numPr>
        <w:spacing w:after="0" w:line="240" w:lineRule="auto"/>
      </w:pPr>
      <w:r>
        <w:t xml:space="preserve">Despite recent rhetoric that a rate move is warranted, the Federal Reserve </w:t>
      </w:r>
      <w:r w:rsidRPr="004B3599">
        <w:t>deci</w:t>
      </w:r>
      <w:r>
        <w:t>ded to keep rates unchanged at their September meeting.</w:t>
      </w:r>
      <w:r w:rsidR="00EA6C10">
        <w:t xml:space="preserve"> </w:t>
      </w:r>
    </w:p>
    <w:p w14:paraId="0466FEC2" w14:textId="77777777" w:rsidR="00AB336F" w:rsidRPr="004A4BC2" w:rsidRDefault="00AB336F" w:rsidP="00AB336F">
      <w:pPr>
        <w:numPr>
          <w:ilvl w:val="0"/>
          <w:numId w:val="2"/>
        </w:numPr>
        <w:spacing w:after="0" w:line="240" w:lineRule="auto"/>
      </w:pPr>
      <w:r w:rsidRPr="003C4E5D">
        <w:t>US Gross Domestic Product was revised to 3.9%, up from the previous estimate of 3.7% in 2Q15 in</w:t>
      </w:r>
      <w:r>
        <w:t xml:space="preserve"> the Commerce Department’s final</w:t>
      </w:r>
      <w:r w:rsidRPr="003C4E5D">
        <w:t xml:space="preserve"> assessment.  </w:t>
      </w:r>
    </w:p>
    <w:p w14:paraId="7E481192" w14:textId="77777777" w:rsidR="0009083B" w:rsidRPr="004A4BC2" w:rsidRDefault="001721BA" w:rsidP="00B03DE6">
      <w:pPr>
        <w:pStyle w:val="ListParagraph"/>
        <w:numPr>
          <w:ilvl w:val="0"/>
          <w:numId w:val="2"/>
        </w:numPr>
        <w:spacing w:after="0" w:line="240" w:lineRule="auto"/>
      </w:pPr>
      <w:r w:rsidRPr="003569C5">
        <w:t>WTI fell</w:t>
      </w:r>
      <w:r w:rsidR="0009083B" w:rsidRPr="003569C5">
        <w:t xml:space="preserve"> </w:t>
      </w:r>
      <w:r w:rsidRPr="003569C5">
        <w:t>-</w:t>
      </w:r>
      <w:r w:rsidR="0009083B" w:rsidRPr="003569C5">
        <w:t>2</w:t>
      </w:r>
      <w:r w:rsidRPr="003569C5">
        <w:t>3.9% during 3Q15 (</w:t>
      </w:r>
      <w:r w:rsidR="00B03DE6" w:rsidRPr="003569C5">
        <w:t xml:space="preserve">$48.4 a barrel vs. $63.6 </w:t>
      </w:r>
      <w:r w:rsidR="0009083B" w:rsidRPr="003569C5">
        <w:t xml:space="preserve">in </w:t>
      </w:r>
      <w:r w:rsidRPr="003569C5">
        <w:t>2</w:t>
      </w:r>
      <w:r w:rsidR="0009083B" w:rsidRPr="003569C5">
        <w:t>Q15)</w:t>
      </w:r>
      <w:r w:rsidR="004A4BC2" w:rsidRPr="003569C5">
        <w:t xml:space="preserve"> in response to weak demand from China</w:t>
      </w:r>
      <w:r w:rsidR="00C62A92" w:rsidRPr="003569C5">
        <w:t>. Also,</w:t>
      </w:r>
      <w:r w:rsidR="004A4BC2" w:rsidRPr="003569C5">
        <w:t xml:space="preserve"> producers</w:t>
      </w:r>
      <w:r w:rsidR="004A4BC2" w:rsidRPr="004A4BC2">
        <w:t xml:space="preserve"> in the Middle East continued to pump despite the growing global supply glut. </w:t>
      </w:r>
    </w:p>
    <w:p w14:paraId="2DD6F79D" w14:textId="77777777" w:rsidR="0009083B" w:rsidRPr="00C12A9B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4A4BC2">
        <w:t>Une</w:t>
      </w:r>
      <w:r w:rsidR="004A4BC2" w:rsidRPr="004A4BC2">
        <w:t xml:space="preserve">mployment </w:t>
      </w:r>
      <w:r w:rsidR="004A4BC2">
        <w:t>continued</w:t>
      </w:r>
      <w:r w:rsidR="00C12A9B">
        <w:t xml:space="preserve"> its fall toward historic lows</w:t>
      </w:r>
      <w:r w:rsidR="004A4BC2">
        <w:t xml:space="preserve"> in </w:t>
      </w:r>
      <w:r w:rsidR="004A4BC2" w:rsidRPr="004A4BC2">
        <w:t>3</w:t>
      </w:r>
      <w:r w:rsidRPr="004A4BC2">
        <w:t>Q15 at 5.</w:t>
      </w:r>
      <w:r w:rsidR="004A4BC2" w:rsidRPr="004A4BC2">
        <w:t>1% vs. 5.3% in 2</w:t>
      </w:r>
      <w:r w:rsidRPr="004A4BC2">
        <w:t xml:space="preserve">Q15, </w:t>
      </w:r>
      <w:r w:rsidRPr="00C12A9B">
        <w:t xml:space="preserve">however, </w:t>
      </w:r>
      <w:r w:rsidR="004A4BC2" w:rsidRPr="00C12A9B">
        <w:t xml:space="preserve">wage growth and jobs added fell below economist’ expectations. </w:t>
      </w:r>
    </w:p>
    <w:p w14:paraId="2AE61954" w14:textId="77777777" w:rsidR="00C12A9B" w:rsidRDefault="00C12A9B" w:rsidP="008F058F">
      <w:pPr>
        <w:numPr>
          <w:ilvl w:val="0"/>
          <w:numId w:val="2"/>
        </w:numPr>
        <w:spacing w:after="0" w:line="240" w:lineRule="auto"/>
        <w:contextualSpacing/>
      </w:pPr>
      <w:r w:rsidRPr="00C12A9B">
        <w:t xml:space="preserve">U.S. </w:t>
      </w:r>
      <w:r w:rsidRPr="007D6188">
        <w:t>manufacturing expanded at a slower pace in September: The US Purchasing Managers Index (PMI) fell to 50.2 vs. 53.5 in June.</w:t>
      </w:r>
    </w:p>
    <w:p w14:paraId="58667671" w14:textId="77777777" w:rsidR="00EA6C10" w:rsidRPr="003569C5" w:rsidRDefault="00EA6C10" w:rsidP="00EA6C10">
      <w:pPr>
        <w:pStyle w:val="ListParagraph"/>
        <w:numPr>
          <w:ilvl w:val="0"/>
          <w:numId w:val="2"/>
        </w:numPr>
        <w:spacing w:after="0" w:line="240" w:lineRule="auto"/>
      </w:pPr>
      <w:r w:rsidRPr="003569C5">
        <w:t>The U.S. Dollar Index appreciated +0.8% in 3Q15 and still remains relatively strong, up 12.1% over the last year.</w:t>
      </w:r>
    </w:p>
    <w:p w14:paraId="6DDABF77" w14:textId="77777777" w:rsidR="0009083B" w:rsidRPr="007D6188" w:rsidRDefault="0009083B" w:rsidP="008F058F">
      <w:pPr>
        <w:numPr>
          <w:ilvl w:val="0"/>
          <w:numId w:val="2"/>
        </w:numPr>
        <w:spacing w:after="0" w:line="240" w:lineRule="auto"/>
        <w:contextualSpacing/>
      </w:pPr>
      <w:r w:rsidRPr="007D6188">
        <w:t>Risks for US economy:</w:t>
      </w:r>
    </w:p>
    <w:p w14:paraId="7BF02014" w14:textId="77777777" w:rsidR="007D6188" w:rsidRPr="007D6188" w:rsidRDefault="007D6188" w:rsidP="0009083B">
      <w:pPr>
        <w:numPr>
          <w:ilvl w:val="1"/>
          <w:numId w:val="2"/>
        </w:numPr>
        <w:spacing w:after="0" w:line="240" w:lineRule="auto"/>
        <w:contextualSpacing/>
      </w:pPr>
      <w:r w:rsidRPr="007D6188">
        <w:t>Major slowdown in China and Emerging Markets reduces global demand.</w:t>
      </w:r>
    </w:p>
    <w:p w14:paraId="460B962D" w14:textId="77777777" w:rsidR="0009083B" w:rsidRPr="00A73A96" w:rsidRDefault="0009083B" w:rsidP="0009083B">
      <w:pPr>
        <w:spacing w:after="0" w:line="240" w:lineRule="auto"/>
        <w:ind w:left="2160"/>
        <w:contextualSpacing/>
      </w:pPr>
    </w:p>
    <w:p w14:paraId="458D2060" w14:textId="77777777" w:rsidR="0009083B" w:rsidRPr="00A73A96" w:rsidRDefault="0009083B" w:rsidP="0009083B">
      <w:pPr>
        <w:numPr>
          <w:ilvl w:val="0"/>
          <w:numId w:val="1"/>
        </w:numPr>
        <w:spacing w:after="0" w:line="240" w:lineRule="auto"/>
        <w:contextualSpacing/>
      </w:pPr>
      <w:r w:rsidRPr="00A73A96">
        <w:t>Valuation:</w:t>
      </w:r>
      <w:r w:rsidRPr="00A73A96">
        <w:tab/>
      </w:r>
      <w:r w:rsidRPr="00A73A96">
        <w:tab/>
      </w:r>
      <w:r w:rsidR="00A73A96" w:rsidRPr="00A73A96">
        <w:rPr>
          <w:b/>
        </w:rPr>
        <w:t>NEUTRAL</w:t>
      </w:r>
      <w:r w:rsidR="00A73A96" w:rsidRPr="00A73A96">
        <w:t xml:space="preserve"> </w:t>
      </w:r>
      <w:r w:rsidR="00A73A96" w:rsidRPr="00A73A96">
        <w:rPr>
          <w:b/>
        </w:rPr>
        <w:t>to</w:t>
      </w:r>
      <w:r w:rsidR="00A73A96" w:rsidRPr="00A73A96">
        <w:t xml:space="preserve"> </w:t>
      </w:r>
      <w:r w:rsidR="00A73A96" w:rsidRPr="00A73A96">
        <w:rPr>
          <w:b/>
          <w:color w:val="FF0000"/>
        </w:rPr>
        <w:t>NEGATIVE</w:t>
      </w:r>
    </w:p>
    <w:p w14:paraId="521FEF85" w14:textId="77777777" w:rsidR="0009083B" w:rsidRPr="00A73A96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A73A96">
        <w:t xml:space="preserve">SP500 P/E (NTM) </w:t>
      </w:r>
      <w:r w:rsidR="00C12A9B" w:rsidRPr="00A73A96">
        <w:t>cheapened in 3Q15</w:t>
      </w:r>
      <w:r w:rsidRPr="00A73A96">
        <w:t xml:space="preserve"> at 1</w:t>
      </w:r>
      <w:r w:rsidR="00C12A9B" w:rsidRPr="00A73A96">
        <w:t xml:space="preserve">5.1x but remain above the </w:t>
      </w:r>
      <w:r w:rsidRPr="00A73A96">
        <w:t>1</w:t>
      </w:r>
      <w:r w:rsidR="00C12A9B" w:rsidRPr="00A73A96">
        <w:t>4.0</w:t>
      </w:r>
      <w:r w:rsidRPr="00A73A96">
        <w:t>x 5yr a</w:t>
      </w:r>
      <w:r w:rsidR="00C12A9B" w:rsidRPr="00A73A96">
        <w:t>verage (0.6</w:t>
      </w:r>
      <w:r w:rsidRPr="00A73A96">
        <w:t xml:space="preserve"> standard deviations above average</w:t>
      </w:r>
      <w:r w:rsidR="00C12A9B" w:rsidRPr="00A73A96">
        <w:t>).  This compares to P/E of 16.4x on 6/30</w:t>
      </w:r>
      <w:r w:rsidRPr="00A73A96">
        <w:t>/2015.</w:t>
      </w:r>
    </w:p>
    <w:p w14:paraId="2E34A9B1" w14:textId="77777777" w:rsidR="0009083B" w:rsidRPr="00A73A96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A73A96">
        <w:t xml:space="preserve">SP500 profit margins remain elevated at 10.6% vs. </w:t>
      </w:r>
      <w:r w:rsidR="00C12A9B" w:rsidRPr="00A73A96">
        <w:t>10.1</w:t>
      </w:r>
      <w:r w:rsidRPr="00A73A96">
        <w:t>% 5yr average</w:t>
      </w:r>
      <w:r w:rsidR="00C12A9B" w:rsidRPr="00A73A96">
        <w:t xml:space="preserve"> (1.3 standard deviations above the average)</w:t>
      </w:r>
      <w:r w:rsidRPr="00A73A96">
        <w:t xml:space="preserve">. </w:t>
      </w:r>
    </w:p>
    <w:p w14:paraId="355EC61D" w14:textId="77777777" w:rsidR="0009083B" w:rsidRPr="002624AF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7D6188">
        <w:t>S</w:t>
      </w:r>
      <w:r w:rsidR="00C12A9B" w:rsidRPr="007D6188">
        <w:t>P500 earnings growth (NTM) continues to rebound from</w:t>
      </w:r>
      <w:r w:rsidR="002624AF" w:rsidRPr="007D6188">
        <w:t xml:space="preserve"> record lows in 1Q15</w:t>
      </w:r>
      <w:r w:rsidRPr="007D6188">
        <w:t xml:space="preserve">: </w:t>
      </w:r>
      <w:r w:rsidR="002624AF" w:rsidRPr="007D6188">
        <w:t>7.2</w:t>
      </w:r>
      <w:r w:rsidRPr="007D6188">
        <w:t xml:space="preserve">% vs. </w:t>
      </w:r>
      <w:r w:rsidR="002624AF" w:rsidRPr="007D6188">
        <w:t>10</w:t>
      </w:r>
      <w:r w:rsidRPr="007D6188">
        <w:t xml:space="preserve">.0% 5yr average     </w:t>
      </w:r>
      <w:r w:rsidR="002624AF" w:rsidRPr="007D6188">
        <w:t>(-0.9</w:t>
      </w:r>
      <w:r w:rsidRPr="007D6188">
        <w:t xml:space="preserve"> standard deviations below the average). SP500 earnings</w:t>
      </w:r>
      <w:r w:rsidRPr="002624AF">
        <w:t xml:space="preserve"> growth (NTM) </w:t>
      </w:r>
      <w:r w:rsidR="002624AF" w:rsidRPr="002624AF">
        <w:t>was at 4.3% on 3</w:t>
      </w:r>
      <w:r w:rsidRPr="002624AF">
        <w:t>/31/2015.</w:t>
      </w:r>
    </w:p>
    <w:p w14:paraId="0FE32612" w14:textId="77777777" w:rsidR="0009083B" w:rsidRPr="00A73A96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2624AF">
        <w:t xml:space="preserve">Price-to-Book </w:t>
      </w:r>
      <w:r w:rsidR="002624AF" w:rsidRPr="002624AF">
        <w:t>at 2.</w:t>
      </w:r>
      <w:r w:rsidR="002624AF" w:rsidRPr="00A73A96">
        <w:t xml:space="preserve">4x </w:t>
      </w:r>
      <w:r w:rsidRPr="00A73A96">
        <w:t>remained</w:t>
      </w:r>
      <w:r w:rsidR="002624AF" w:rsidRPr="00A73A96">
        <w:t xml:space="preserve"> above the</w:t>
      </w:r>
      <w:r w:rsidRPr="00A73A96">
        <w:t xml:space="preserve"> 2.</w:t>
      </w:r>
      <w:r w:rsidR="002624AF" w:rsidRPr="00A73A96">
        <w:t>2x 5yr average (0.7</w:t>
      </w:r>
      <w:r w:rsidRPr="00A73A96">
        <w:t xml:space="preserve"> standard deviations above the average)</w:t>
      </w:r>
    </w:p>
    <w:p w14:paraId="18384AB9" w14:textId="77777777" w:rsidR="0009083B" w:rsidRPr="00A73A96" w:rsidRDefault="0009083B" w:rsidP="0009083B">
      <w:pPr>
        <w:spacing w:after="0" w:line="240" w:lineRule="auto"/>
        <w:ind w:left="1440"/>
        <w:contextualSpacing/>
      </w:pPr>
    </w:p>
    <w:p w14:paraId="429747F0" w14:textId="7B6A6D53" w:rsidR="0009083B" w:rsidRPr="00A73A96" w:rsidRDefault="0009083B" w:rsidP="0009083B">
      <w:pPr>
        <w:numPr>
          <w:ilvl w:val="0"/>
          <w:numId w:val="1"/>
        </w:numPr>
        <w:spacing w:after="0" w:line="240" w:lineRule="auto"/>
        <w:contextualSpacing/>
      </w:pPr>
      <w:r w:rsidRPr="00A73A96">
        <w:t>Sentiment:</w:t>
      </w:r>
      <w:r w:rsidRPr="00A73A96">
        <w:tab/>
      </w:r>
      <w:r w:rsidRPr="00A73A96">
        <w:tab/>
      </w:r>
      <w:r w:rsidRPr="00A73A96">
        <w:rPr>
          <w:b/>
        </w:rPr>
        <w:t>NEUTRAL</w:t>
      </w:r>
    </w:p>
    <w:p w14:paraId="40AFACE3" w14:textId="77777777" w:rsidR="0009083B" w:rsidRPr="00A73A96" w:rsidRDefault="0009083B" w:rsidP="0009083B">
      <w:pPr>
        <w:pStyle w:val="ListParagraph"/>
        <w:numPr>
          <w:ilvl w:val="0"/>
          <w:numId w:val="2"/>
        </w:numPr>
        <w:spacing w:after="0" w:line="240" w:lineRule="auto"/>
      </w:pPr>
      <w:r w:rsidRPr="00A73A96">
        <w:t>We view low volatility and high consumer confidence as contrarian indicators.</w:t>
      </w:r>
    </w:p>
    <w:p w14:paraId="2E884D1E" w14:textId="77777777" w:rsidR="0009083B" w:rsidRPr="002624AF" w:rsidRDefault="0009083B" w:rsidP="0009083B">
      <w:pPr>
        <w:pStyle w:val="ListParagraph"/>
        <w:numPr>
          <w:ilvl w:val="0"/>
          <w:numId w:val="2"/>
        </w:numPr>
        <w:spacing w:after="0" w:line="240" w:lineRule="auto"/>
      </w:pPr>
      <w:r w:rsidRPr="00A73A96">
        <w:t xml:space="preserve">Volatility </w:t>
      </w:r>
      <w:r w:rsidR="002624AF" w:rsidRPr="00A73A96">
        <w:t>spiked in 3Q15 as the VIX closed</w:t>
      </w:r>
      <w:r w:rsidR="002624AF" w:rsidRPr="002624AF">
        <w:t xml:space="preserve"> September</w:t>
      </w:r>
      <w:r w:rsidRPr="002624AF">
        <w:t xml:space="preserve"> at </w:t>
      </w:r>
      <w:r w:rsidR="002624AF" w:rsidRPr="002624AF">
        <w:t>24.5</w:t>
      </w:r>
      <w:r w:rsidRPr="002624AF">
        <w:t xml:space="preserve"> vs. a 5yr average of 1</w:t>
      </w:r>
      <w:r w:rsidR="002624AF" w:rsidRPr="002624AF">
        <w:t xml:space="preserve">7.9. The highest month-end reading since November 30, 2011. </w:t>
      </w:r>
    </w:p>
    <w:p w14:paraId="3E034AC5" w14:textId="77777777" w:rsidR="0009083B" w:rsidRPr="002624AF" w:rsidRDefault="0009083B" w:rsidP="0009083B">
      <w:pPr>
        <w:pStyle w:val="ListParagraph"/>
        <w:numPr>
          <w:ilvl w:val="0"/>
          <w:numId w:val="2"/>
        </w:numPr>
        <w:spacing w:after="0" w:line="240" w:lineRule="auto"/>
      </w:pPr>
      <w:r w:rsidRPr="002624AF">
        <w:t>Consumer Confidence climbed to 10</w:t>
      </w:r>
      <w:r w:rsidR="002624AF" w:rsidRPr="002624AF">
        <w:t>3</w:t>
      </w:r>
      <w:r w:rsidRPr="002624AF">
        <w:t>.</w:t>
      </w:r>
      <w:r w:rsidR="002624AF" w:rsidRPr="002624AF">
        <w:t>0</w:t>
      </w:r>
      <w:r w:rsidRPr="002624AF">
        <w:t xml:space="preserve"> in </w:t>
      </w:r>
      <w:r w:rsidR="002624AF" w:rsidRPr="002624AF">
        <w:t>September, up from 99.8 at the end of 2Q15. (1.8</w:t>
      </w:r>
      <w:r w:rsidRPr="002624AF">
        <w:t xml:space="preserve"> standard deviations above the 5yr average of 7</w:t>
      </w:r>
      <w:r w:rsidR="002624AF" w:rsidRPr="002624AF">
        <w:t>4.7</w:t>
      </w:r>
      <w:r w:rsidRPr="002624AF">
        <w:t>).</w:t>
      </w:r>
    </w:p>
    <w:p w14:paraId="1F583D5D" w14:textId="77777777" w:rsidR="0009083B" w:rsidRDefault="0009083B" w:rsidP="0009083B">
      <w:pPr>
        <w:pStyle w:val="ListParagraph"/>
        <w:spacing w:after="0" w:line="240" w:lineRule="auto"/>
        <w:ind w:left="1440"/>
      </w:pPr>
    </w:p>
    <w:p w14:paraId="1736CB71" w14:textId="77777777" w:rsidR="0009083B" w:rsidRPr="00BE2888" w:rsidRDefault="0009083B" w:rsidP="0009083B">
      <w:pPr>
        <w:numPr>
          <w:ilvl w:val="0"/>
          <w:numId w:val="1"/>
        </w:numPr>
        <w:spacing w:after="0" w:line="240" w:lineRule="auto"/>
        <w:contextualSpacing/>
      </w:pPr>
      <w:r w:rsidRPr="00BE2888">
        <w:t>Momentum:</w:t>
      </w:r>
      <w:r w:rsidRPr="00BE2888">
        <w:tab/>
      </w:r>
      <w:r w:rsidRPr="00BE2888">
        <w:tab/>
      </w:r>
      <w:r w:rsidR="006F1524" w:rsidRPr="006F1524">
        <w:rPr>
          <w:b/>
          <w:color w:val="FF0000"/>
        </w:rPr>
        <w:t>NEGATIVE</w:t>
      </w:r>
      <w:r w:rsidRPr="00BE2888">
        <w:rPr>
          <w:b/>
          <w:color w:val="00B050"/>
        </w:rPr>
        <w:t xml:space="preserve"> </w:t>
      </w:r>
    </w:p>
    <w:p w14:paraId="2C275970" w14:textId="77777777" w:rsidR="0009083B" w:rsidRPr="00BE2888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BE2888">
        <w:t>S&amp;P 500:</w:t>
      </w:r>
    </w:p>
    <w:p w14:paraId="7C9ED7AE" w14:textId="77777777" w:rsidR="0009083B" w:rsidRPr="006F1524" w:rsidRDefault="006F1524" w:rsidP="0009083B">
      <w:pPr>
        <w:numPr>
          <w:ilvl w:val="1"/>
          <w:numId w:val="2"/>
        </w:numPr>
        <w:spacing w:after="0" w:line="240" w:lineRule="auto"/>
        <w:contextualSpacing/>
      </w:pPr>
      <w:r w:rsidRPr="006F1524">
        <w:t xml:space="preserve">All measures of </w:t>
      </w:r>
      <w:r w:rsidR="0009083B" w:rsidRPr="006F1524">
        <w:t>Momentum</w:t>
      </w:r>
      <w:r w:rsidRPr="006F1524">
        <w:t xml:space="preserve"> are negative</w:t>
      </w:r>
      <w:r w:rsidR="000E35A1">
        <w:t>;</w:t>
      </w:r>
      <w:r w:rsidR="0009083B" w:rsidRPr="006F1524">
        <w:t xml:space="preserve"> </w:t>
      </w:r>
      <w:r w:rsidR="000E35A1">
        <w:t xml:space="preserve">the </w:t>
      </w:r>
      <w:r w:rsidR="0009083B" w:rsidRPr="006F1524">
        <w:t>50DMA</w:t>
      </w:r>
      <w:r w:rsidR="000E35A1">
        <w:t xml:space="preserve">, </w:t>
      </w:r>
      <w:r w:rsidR="0009083B" w:rsidRPr="006F1524">
        <w:t>200DMA</w:t>
      </w:r>
      <w:r w:rsidR="000E35A1">
        <w:t xml:space="preserve"> and the 200DMA-50DMA</w:t>
      </w:r>
      <w:r w:rsidR="0009083B" w:rsidRPr="006F1524">
        <w:t xml:space="preserve">. </w:t>
      </w:r>
    </w:p>
    <w:p w14:paraId="74C51EAD" w14:textId="77777777" w:rsidR="0009083B" w:rsidRDefault="0009083B" w:rsidP="000E35A1">
      <w:pPr>
        <w:numPr>
          <w:ilvl w:val="1"/>
          <w:numId w:val="2"/>
        </w:numPr>
        <w:spacing w:after="0" w:line="240" w:lineRule="auto"/>
        <w:contextualSpacing/>
      </w:pPr>
      <w:r w:rsidRPr="006F1524">
        <w:t xml:space="preserve">The 50DMA </w:t>
      </w:r>
      <w:r w:rsidR="006F1524" w:rsidRPr="006F1524">
        <w:t xml:space="preserve">crossed the 200DMA </w:t>
      </w:r>
      <w:r w:rsidR="000E35A1">
        <w:t>in a “death cross”</w:t>
      </w:r>
      <w:r w:rsidR="000E35A1" w:rsidRPr="000E35A1">
        <w:t xml:space="preserve"> on August 24</w:t>
      </w:r>
      <w:r w:rsidR="000D1DC5">
        <w:t xml:space="preserve">. </w:t>
      </w:r>
    </w:p>
    <w:p w14:paraId="4936C56A" w14:textId="77777777" w:rsidR="007D6188" w:rsidRDefault="007D6188" w:rsidP="007D6188">
      <w:pPr>
        <w:spacing w:after="0" w:line="240" w:lineRule="auto"/>
        <w:contextualSpacing/>
      </w:pPr>
    </w:p>
    <w:p w14:paraId="55404301" w14:textId="77777777" w:rsidR="007D6188" w:rsidRPr="006F1524" w:rsidRDefault="007D6188" w:rsidP="007D6188">
      <w:pPr>
        <w:spacing w:after="0" w:line="240" w:lineRule="auto"/>
        <w:contextualSpacing/>
      </w:pPr>
    </w:p>
    <w:tbl>
      <w:tblPr>
        <w:tblStyle w:val="LightShading-Accent5"/>
        <w:tblW w:w="10458" w:type="dxa"/>
        <w:jc w:val="center"/>
        <w:tblLook w:val="04A0" w:firstRow="1" w:lastRow="0" w:firstColumn="1" w:lastColumn="0" w:noHBand="0" w:noVBand="1"/>
      </w:tblPr>
      <w:tblGrid>
        <w:gridCol w:w="2898"/>
        <w:gridCol w:w="3330"/>
        <w:gridCol w:w="270"/>
        <w:gridCol w:w="3960"/>
      </w:tblGrid>
      <w:tr w:rsidR="0009083B" w:rsidRPr="000D745E" w14:paraId="270EDB50" w14:textId="77777777" w:rsidTr="008F0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D5772DA" w14:textId="77777777" w:rsidR="0009083B" w:rsidRPr="000D745E" w:rsidRDefault="0009083B" w:rsidP="008F058F">
            <w:pPr>
              <w:rPr>
                <w:highlight w:val="yellow"/>
              </w:rPr>
            </w:pPr>
            <w:r w:rsidRPr="00B15FFC">
              <w:lastRenderedPageBreak/>
              <w:t>U.S. Small Cap Equities</w:t>
            </w:r>
          </w:p>
        </w:tc>
        <w:tc>
          <w:tcPr>
            <w:tcW w:w="3330" w:type="dxa"/>
          </w:tcPr>
          <w:p w14:paraId="3EDDE7D7" w14:textId="77777777" w:rsidR="0009083B" w:rsidRPr="000D745E" w:rsidRDefault="00AB336F" w:rsidP="008F0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B336F">
              <w:rPr>
                <w:color w:val="auto"/>
              </w:rPr>
              <w:t xml:space="preserve">NEUTRAL </w:t>
            </w:r>
          </w:p>
        </w:tc>
        <w:tc>
          <w:tcPr>
            <w:tcW w:w="270" w:type="dxa"/>
          </w:tcPr>
          <w:p w14:paraId="62140A5B" w14:textId="77777777" w:rsidR="0009083B" w:rsidRPr="000D745E" w:rsidRDefault="0009083B" w:rsidP="008F0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960" w:type="dxa"/>
            <w:shd w:val="clear" w:color="auto" w:fill="auto"/>
          </w:tcPr>
          <w:p w14:paraId="35DE2A70" w14:textId="77777777" w:rsidR="0009083B" w:rsidRPr="000D745E" w:rsidRDefault="0009083B" w:rsidP="001721B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721BA">
              <w:t>$2.</w:t>
            </w:r>
            <w:r w:rsidR="001721BA" w:rsidRPr="001721BA">
              <w:t xml:space="preserve">3 </w:t>
            </w:r>
            <w:proofErr w:type="spellStart"/>
            <w:r w:rsidR="001721BA" w:rsidRPr="001721BA">
              <w:t>bn</w:t>
            </w:r>
            <w:proofErr w:type="spellEnd"/>
            <w:r w:rsidR="001721BA" w:rsidRPr="001721BA">
              <w:t xml:space="preserve"> / 3.9</w:t>
            </w:r>
            <w:r w:rsidRPr="001721BA">
              <w:t xml:space="preserve">% of Fund </w:t>
            </w:r>
          </w:p>
        </w:tc>
      </w:tr>
    </w:tbl>
    <w:p w14:paraId="000050A0" w14:textId="77777777" w:rsidR="0009083B" w:rsidRPr="00B15FFC" w:rsidRDefault="0009083B" w:rsidP="0009083B">
      <w:pPr>
        <w:spacing w:after="0" w:line="240" w:lineRule="auto"/>
        <w:ind w:left="360"/>
      </w:pPr>
      <w:r w:rsidRPr="00B15FFC">
        <w:t>Market Data &amp; Indicators</w:t>
      </w:r>
    </w:p>
    <w:p w14:paraId="2721C552" w14:textId="77777777" w:rsidR="0009083B" w:rsidRPr="003569C5" w:rsidRDefault="0009083B" w:rsidP="0009083B">
      <w:pPr>
        <w:numPr>
          <w:ilvl w:val="0"/>
          <w:numId w:val="1"/>
        </w:numPr>
        <w:spacing w:after="0" w:line="240" w:lineRule="auto"/>
        <w:contextualSpacing/>
      </w:pPr>
      <w:r w:rsidRPr="00B15FFC">
        <w:t>Macro:</w:t>
      </w:r>
      <w:r w:rsidRPr="00B15FFC">
        <w:tab/>
      </w:r>
      <w:r w:rsidRPr="00B15FFC">
        <w:tab/>
      </w:r>
      <w:r w:rsidRPr="00B15FFC">
        <w:tab/>
      </w:r>
      <w:r w:rsidR="00A73A96" w:rsidRPr="003569C5">
        <w:rPr>
          <w:b/>
        </w:rPr>
        <w:t xml:space="preserve">NEUTRAL to </w:t>
      </w:r>
      <w:r w:rsidR="00A73A96" w:rsidRPr="003569C5">
        <w:rPr>
          <w:b/>
          <w:color w:val="00B050"/>
        </w:rPr>
        <w:t>POSITIVE</w:t>
      </w:r>
    </w:p>
    <w:p w14:paraId="559BA14C" w14:textId="77777777" w:rsidR="0009083B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3569C5">
        <w:t>See Macro comments from US Large Cap Equities above.</w:t>
      </w:r>
    </w:p>
    <w:p w14:paraId="4E87C550" w14:textId="77777777" w:rsidR="00AB336F" w:rsidRPr="00A74A28" w:rsidRDefault="00AB336F" w:rsidP="00AB336F">
      <w:pPr>
        <w:numPr>
          <w:ilvl w:val="0"/>
          <w:numId w:val="2"/>
        </w:numPr>
        <w:spacing w:after="0" w:line="240" w:lineRule="auto"/>
        <w:contextualSpacing/>
      </w:pPr>
      <w:r w:rsidRPr="00A74A28">
        <w:t>Small Cap investors are optimistic the Fed will raise interest rates at a slow and measured pace.</w:t>
      </w:r>
    </w:p>
    <w:p w14:paraId="49A96CB2" w14:textId="77777777" w:rsidR="0009083B" w:rsidRPr="00A74A28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A74A28">
        <w:t>With the exception that Small Caps are relatively more insulated than Large Caps from a strong dollar.</w:t>
      </w:r>
    </w:p>
    <w:p w14:paraId="03BBD251" w14:textId="77777777" w:rsidR="0009083B" w:rsidRPr="00A74A28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A74A28">
        <w:t xml:space="preserve">The US economy is likely in the mid-to-late cycle of its business cycle, which can last for an extended period (M&amp;A pickup, profit growth peaking, credit growth strong, monetary policy still </w:t>
      </w:r>
      <w:proofErr w:type="spellStart"/>
      <w:r w:rsidRPr="00A74A28">
        <w:t>stimulative</w:t>
      </w:r>
      <w:proofErr w:type="spellEnd"/>
      <w:r w:rsidRPr="00A74A28">
        <w:t xml:space="preserve"> but slowing). </w:t>
      </w:r>
    </w:p>
    <w:p w14:paraId="5780253F" w14:textId="77777777" w:rsidR="0009083B" w:rsidRPr="00A74A28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A74A28">
        <w:t>Small caps are particularly sensitive to two factors:</w:t>
      </w:r>
    </w:p>
    <w:p w14:paraId="6A21C816" w14:textId="77777777" w:rsidR="0009083B" w:rsidRPr="00A74A28" w:rsidRDefault="0009083B" w:rsidP="0009083B">
      <w:pPr>
        <w:numPr>
          <w:ilvl w:val="1"/>
          <w:numId w:val="2"/>
        </w:numPr>
        <w:spacing w:after="0" w:line="240" w:lineRule="auto"/>
        <w:contextualSpacing/>
      </w:pPr>
      <w:r w:rsidRPr="00A74A28">
        <w:t>Level of interest rates and cost of financing.</w:t>
      </w:r>
    </w:p>
    <w:p w14:paraId="2D05EAE8" w14:textId="77777777" w:rsidR="0009083B" w:rsidRPr="00FA00F5" w:rsidRDefault="0009083B" w:rsidP="0009083B">
      <w:pPr>
        <w:numPr>
          <w:ilvl w:val="1"/>
          <w:numId w:val="2"/>
        </w:numPr>
        <w:spacing w:after="0" w:line="240" w:lineRule="auto"/>
        <w:contextualSpacing/>
      </w:pPr>
      <w:r w:rsidRPr="00FA00F5">
        <w:t>Strength of US consumer.</w:t>
      </w:r>
    </w:p>
    <w:p w14:paraId="571183DF" w14:textId="77777777" w:rsidR="0009083B" w:rsidRPr="00FA00F5" w:rsidRDefault="0009083B" w:rsidP="0009083B">
      <w:pPr>
        <w:spacing w:after="0" w:line="240" w:lineRule="auto"/>
        <w:ind w:left="1440"/>
        <w:contextualSpacing/>
      </w:pPr>
    </w:p>
    <w:p w14:paraId="55FCE7B0" w14:textId="77777777" w:rsidR="0009083B" w:rsidRPr="00FA00F5" w:rsidRDefault="0009083B" w:rsidP="0009083B">
      <w:pPr>
        <w:numPr>
          <w:ilvl w:val="0"/>
          <w:numId w:val="1"/>
        </w:numPr>
        <w:spacing w:after="0" w:line="240" w:lineRule="auto"/>
        <w:contextualSpacing/>
      </w:pPr>
      <w:r w:rsidRPr="00FA00F5">
        <w:t>Valuation:</w:t>
      </w:r>
      <w:r w:rsidRPr="00FA00F5">
        <w:tab/>
      </w:r>
      <w:r w:rsidRPr="00FA00F5">
        <w:tab/>
      </w:r>
      <w:r w:rsidR="00FA00F5" w:rsidRPr="00FA00F5">
        <w:rPr>
          <w:b/>
        </w:rPr>
        <w:t xml:space="preserve">NEUTRAL </w:t>
      </w:r>
    </w:p>
    <w:p w14:paraId="6251376F" w14:textId="7A185A3A" w:rsidR="0009083B" w:rsidRPr="00FA00F5" w:rsidRDefault="00AD3541" w:rsidP="0009083B">
      <w:pPr>
        <w:pStyle w:val="ListParagraph"/>
        <w:numPr>
          <w:ilvl w:val="0"/>
          <w:numId w:val="18"/>
        </w:numPr>
        <w:spacing w:after="0" w:line="240" w:lineRule="auto"/>
      </w:pPr>
      <w:r w:rsidRPr="00FA00F5">
        <w:t xml:space="preserve">Russell 2000 </w:t>
      </w:r>
      <w:r w:rsidR="0009083B" w:rsidRPr="00FA00F5">
        <w:t>P/E (NTM) was 2</w:t>
      </w:r>
      <w:r w:rsidR="002B1304" w:rsidRPr="00FA00F5">
        <w:t>3.2</w:t>
      </w:r>
      <w:r w:rsidR="0009083B" w:rsidRPr="00FA00F5">
        <w:t>x</w:t>
      </w:r>
      <w:r w:rsidRPr="00FA00F5">
        <w:t xml:space="preserve"> vs. 26.4x at the end of last quarter (</w:t>
      </w:r>
      <w:r w:rsidR="002B1304" w:rsidRPr="00FA00F5">
        <w:t>1.3</w:t>
      </w:r>
      <w:r w:rsidR="0009083B" w:rsidRPr="00FA00F5">
        <w:t xml:space="preserve"> standard deviations above 5-yr average</w:t>
      </w:r>
      <w:r w:rsidR="002B1304" w:rsidRPr="00FA00F5">
        <w:t xml:space="preserve"> of 19.6</w:t>
      </w:r>
      <w:r w:rsidRPr="00FA00F5">
        <w:t>)</w:t>
      </w:r>
      <w:r w:rsidR="005B1D19">
        <w:t>.</w:t>
      </w:r>
    </w:p>
    <w:p w14:paraId="60C877C3" w14:textId="77777777" w:rsidR="0009083B" w:rsidRPr="00AD3541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FA00F5">
        <w:t>US</w:t>
      </w:r>
      <w:r w:rsidR="00CC6253" w:rsidRPr="00FA00F5">
        <w:t xml:space="preserve"> Small Cap profit margins fell to 4</w:t>
      </w:r>
      <w:r w:rsidR="00CC6253">
        <w:t>.10</w:t>
      </w:r>
      <w:r w:rsidRPr="00AD3541">
        <w:t xml:space="preserve">% </w:t>
      </w:r>
      <w:r w:rsidR="00CC6253">
        <w:t>vs. 4.22% in 2Q15,</w:t>
      </w:r>
      <w:r w:rsidRPr="00AD3541">
        <w:t xml:space="preserve"> below the historical average of 4.6% (-2.3 standard deviations below average).  </w:t>
      </w:r>
    </w:p>
    <w:p w14:paraId="05A756E6" w14:textId="77777777" w:rsidR="0009083B" w:rsidRDefault="00C77870" w:rsidP="0009083B">
      <w:pPr>
        <w:numPr>
          <w:ilvl w:val="0"/>
          <w:numId w:val="2"/>
        </w:numPr>
        <w:spacing w:after="0" w:line="240" w:lineRule="auto"/>
        <w:contextualSpacing/>
      </w:pPr>
      <w:r>
        <w:t xml:space="preserve">Expected earnings growth rose to </w:t>
      </w:r>
      <w:r w:rsidR="002B1304" w:rsidRPr="00AD3541">
        <w:t>26.2% vs. 21.9%</w:t>
      </w:r>
      <w:r w:rsidR="00B9000D">
        <w:t xml:space="preserve"> in 2Q15 </w:t>
      </w:r>
      <w:r w:rsidR="002B1304" w:rsidRPr="00AD3541">
        <w:t xml:space="preserve">and </w:t>
      </w:r>
      <w:r w:rsidR="003E2BAC">
        <w:t xml:space="preserve">is </w:t>
      </w:r>
      <w:r w:rsidR="002B1304" w:rsidRPr="00AD3541">
        <w:t xml:space="preserve">approaching </w:t>
      </w:r>
      <w:r w:rsidR="003E2BAC">
        <w:t xml:space="preserve">the </w:t>
      </w:r>
      <w:r w:rsidR="002B1304" w:rsidRPr="00AD3541">
        <w:t xml:space="preserve">historical 5-yr average of 29.2 (-0.5 standard deviations below the mean). </w:t>
      </w:r>
    </w:p>
    <w:p w14:paraId="7B5F150C" w14:textId="49AFFAC0" w:rsidR="00D465C8" w:rsidRPr="00AD3541" w:rsidRDefault="00D465C8" w:rsidP="0009083B">
      <w:pPr>
        <w:numPr>
          <w:ilvl w:val="0"/>
          <w:numId w:val="2"/>
        </w:numPr>
        <w:spacing w:after="0" w:line="240" w:lineRule="auto"/>
        <w:contextualSpacing/>
      </w:pPr>
      <w:r>
        <w:t xml:space="preserve">SMID Cap equities have witnessed their </w:t>
      </w:r>
      <w:r w:rsidR="000F0754">
        <w:t xml:space="preserve">expected </w:t>
      </w:r>
      <w:r>
        <w:t>earnings growth (NTM) drop significantly</w:t>
      </w:r>
      <w:r w:rsidR="00DC1DA7">
        <w:t>,</w:t>
      </w:r>
      <w:r>
        <w:t xml:space="preserve"> 14.7% vs. 21.5% one year ago. </w:t>
      </w:r>
    </w:p>
    <w:p w14:paraId="7FBD6DF9" w14:textId="77777777" w:rsidR="0009083B" w:rsidRPr="007826FB" w:rsidRDefault="0009083B" w:rsidP="0009083B">
      <w:pPr>
        <w:spacing w:after="0" w:line="240" w:lineRule="auto"/>
        <w:ind w:left="1440"/>
        <w:contextualSpacing/>
      </w:pPr>
    </w:p>
    <w:p w14:paraId="2130E10B" w14:textId="77777777" w:rsidR="0009083B" w:rsidRPr="007826FB" w:rsidRDefault="0009083B" w:rsidP="0009083B">
      <w:pPr>
        <w:numPr>
          <w:ilvl w:val="0"/>
          <w:numId w:val="1"/>
        </w:numPr>
        <w:spacing w:after="0" w:line="240" w:lineRule="auto"/>
        <w:contextualSpacing/>
      </w:pPr>
      <w:r w:rsidRPr="007826FB">
        <w:t>Sentiment:</w:t>
      </w:r>
      <w:r w:rsidRPr="007826FB">
        <w:tab/>
      </w:r>
      <w:r w:rsidRPr="007826FB">
        <w:tab/>
      </w:r>
      <w:r w:rsidR="004F5274" w:rsidRPr="00A73A96">
        <w:rPr>
          <w:b/>
        </w:rPr>
        <w:t>NEUTRAL</w:t>
      </w:r>
      <w:r w:rsidR="004F5274" w:rsidRPr="00A73A96">
        <w:t xml:space="preserve"> </w:t>
      </w:r>
      <w:r w:rsidR="004F5274" w:rsidRPr="00A73A96">
        <w:rPr>
          <w:b/>
        </w:rPr>
        <w:t>to</w:t>
      </w:r>
      <w:r w:rsidR="004F5274" w:rsidRPr="00A73A96">
        <w:t xml:space="preserve"> </w:t>
      </w:r>
      <w:r w:rsidR="004F5274" w:rsidRPr="00A73A96">
        <w:rPr>
          <w:b/>
          <w:color w:val="FF0000"/>
        </w:rPr>
        <w:t>NEGATIVE</w:t>
      </w:r>
      <w:r w:rsidR="004F5274" w:rsidRPr="009307E1">
        <w:rPr>
          <w:b/>
          <w:color w:val="FF0000"/>
          <w:highlight w:val="yellow"/>
        </w:rPr>
        <w:t xml:space="preserve"> </w:t>
      </w:r>
    </w:p>
    <w:p w14:paraId="6B3638F0" w14:textId="77777777" w:rsidR="0009083B" w:rsidRPr="002B1304" w:rsidRDefault="0009083B" w:rsidP="0009083B">
      <w:pPr>
        <w:pStyle w:val="ListParagraph"/>
        <w:numPr>
          <w:ilvl w:val="0"/>
          <w:numId w:val="2"/>
        </w:numPr>
        <w:spacing w:after="0" w:line="240" w:lineRule="auto"/>
      </w:pPr>
      <w:r w:rsidRPr="002B1304">
        <w:t>We view low volatility and high consumer confidence as contrarian indicators.</w:t>
      </w:r>
    </w:p>
    <w:p w14:paraId="1A333624" w14:textId="77777777" w:rsidR="002B1304" w:rsidRPr="002624AF" w:rsidRDefault="002B1304" w:rsidP="002B1304">
      <w:pPr>
        <w:pStyle w:val="ListParagraph"/>
        <w:numPr>
          <w:ilvl w:val="0"/>
          <w:numId w:val="2"/>
        </w:numPr>
        <w:spacing w:after="0" w:line="240" w:lineRule="auto"/>
      </w:pPr>
      <w:r w:rsidRPr="002624AF">
        <w:t xml:space="preserve">Volatility spiked in 3Q15 as the VIX closed September at 24.5 vs. a 5yr average of 17.9. The highest month-end reading since November 30, 2011. </w:t>
      </w:r>
    </w:p>
    <w:p w14:paraId="39B0CCBC" w14:textId="77777777" w:rsidR="002B1304" w:rsidRDefault="002B1304" w:rsidP="002B1304">
      <w:pPr>
        <w:pStyle w:val="ListParagraph"/>
        <w:numPr>
          <w:ilvl w:val="0"/>
          <w:numId w:val="2"/>
        </w:numPr>
        <w:spacing w:after="0" w:line="240" w:lineRule="auto"/>
      </w:pPr>
      <w:r>
        <w:t>Consumer Confidence climbed to 103.0 in September, up from 99.8 at the end of 2Q15. (1.8 standard deviations above the 5yr average of 74.7).</w:t>
      </w:r>
    </w:p>
    <w:p w14:paraId="4EAB10FA" w14:textId="77777777" w:rsidR="0009083B" w:rsidRPr="007F2267" w:rsidRDefault="0009083B" w:rsidP="0009083B">
      <w:pPr>
        <w:spacing w:after="0" w:line="240" w:lineRule="auto"/>
        <w:ind w:left="1440"/>
        <w:contextualSpacing/>
      </w:pPr>
    </w:p>
    <w:p w14:paraId="13B72801" w14:textId="77777777" w:rsidR="0009083B" w:rsidRPr="00394740" w:rsidRDefault="0009083B" w:rsidP="0009083B">
      <w:pPr>
        <w:numPr>
          <w:ilvl w:val="0"/>
          <w:numId w:val="1"/>
        </w:numPr>
        <w:spacing w:after="0" w:line="240" w:lineRule="auto"/>
        <w:contextualSpacing/>
      </w:pPr>
      <w:r w:rsidRPr="007826FB">
        <w:t>Momentum:</w:t>
      </w:r>
      <w:r w:rsidRPr="007826FB">
        <w:tab/>
      </w:r>
      <w:r w:rsidRPr="007826FB">
        <w:tab/>
      </w:r>
      <w:r w:rsidR="00394740" w:rsidRPr="00394740">
        <w:rPr>
          <w:b/>
          <w:color w:val="FF0000"/>
        </w:rPr>
        <w:t>NEGATIVE</w:t>
      </w:r>
      <w:r w:rsidRPr="00394740">
        <w:rPr>
          <w:b/>
          <w:color w:val="FF0000"/>
        </w:rPr>
        <w:t xml:space="preserve"> </w:t>
      </w:r>
    </w:p>
    <w:p w14:paraId="74867864" w14:textId="77777777" w:rsidR="0009083B" w:rsidRPr="00AD3541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AD3541">
        <w:t>Russell 2000:</w:t>
      </w:r>
    </w:p>
    <w:p w14:paraId="65C57FD9" w14:textId="77777777" w:rsidR="00394740" w:rsidRPr="00AD3541" w:rsidRDefault="00394740" w:rsidP="00394740">
      <w:pPr>
        <w:numPr>
          <w:ilvl w:val="1"/>
          <w:numId w:val="2"/>
        </w:numPr>
        <w:spacing w:after="0" w:line="240" w:lineRule="auto"/>
        <w:contextualSpacing/>
      </w:pPr>
      <w:r w:rsidRPr="00AD3541">
        <w:t xml:space="preserve">All measures of Momentum are negative; the 50DMA, 200DMA and the 200DMA-50DMA. </w:t>
      </w:r>
    </w:p>
    <w:p w14:paraId="64C69AD8" w14:textId="77777777" w:rsidR="00394740" w:rsidRPr="006F1524" w:rsidRDefault="00394740" w:rsidP="00394740">
      <w:pPr>
        <w:numPr>
          <w:ilvl w:val="1"/>
          <w:numId w:val="2"/>
        </w:numPr>
        <w:spacing w:after="0" w:line="240" w:lineRule="auto"/>
        <w:contextualSpacing/>
      </w:pPr>
      <w:r w:rsidRPr="00AD3541">
        <w:t>The 50DMA</w:t>
      </w:r>
      <w:r w:rsidRPr="006F1524">
        <w:t xml:space="preserve"> crossed the 200DMA </w:t>
      </w:r>
      <w:r>
        <w:t>in a “death cross”</w:t>
      </w:r>
      <w:r w:rsidRPr="000E35A1">
        <w:t xml:space="preserve"> on August 24</w:t>
      </w:r>
      <w:r>
        <w:t xml:space="preserve">. </w:t>
      </w:r>
    </w:p>
    <w:p w14:paraId="322F49B4" w14:textId="77777777" w:rsidR="0009083B" w:rsidRDefault="0009083B" w:rsidP="0009083B">
      <w:pPr>
        <w:spacing w:after="0" w:line="240" w:lineRule="auto"/>
        <w:contextualSpacing/>
        <w:rPr>
          <w:highlight w:val="yellow"/>
        </w:rPr>
      </w:pPr>
    </w:p>
    <w:p w14:paraId="5B2B542F" w14:textId="77777777" w:rsidR="004E38C5" w:rsidRDefault="004E38C5" w:rsidP="0009083B">
      <w:pPr>
        <w:spacing w:after="0" w:line="240" w:lineRule="auto"/>
        <w:contextualSpacing/>
        <w:rPr>
          <w:highlight w:val="yellow"/>
        </w:rPr>
      </w:pPr>
    </w:p>
    <w:p w14:paraId="28496817" w14:textId="77777777" w:rsidR="004E38C5" w:rsidRDefault="004E38C5" w:rsidP="0009083B">
      <w:pPr>
        <w:spacing w:after="0" w:line="240" w:lineRule="auto"/>
        <w:contextualSpacing/>
        <w:rPr>
          <w:highlight w:val="yellow"/>
        </w:rPr>
      </w:pPr>
    </w:p>
    <w:p w14:paraId="232B0C1B" w14:textId="77777777" w:rsidR="004E38C5" w:rsidRDefault="004E38C5" w:rsidP="0009083B">
      <w:pPr>
        <w:spacing w:after="0" w:line="240" w:lineRule="auto"/>
        <w:contextualSpacing/>
        <w:rPr>
          <w:highlight w:val="yellow"/>
        </w:rPr>
      </w:pPr>
    </w:p>
    <w:p w14:paraId="457C21CE" w14:textId="77777777" w:rsidR="00C9644C" w:rsidRDefault="00C9644C" w:rsidP="0009083B">
      <w:pPr>
        <w:spacing w:after="0" w:line="240" w:lineRule="auto"/>
        <w:contextualSpacing/>
        <w:rPr>
          <w:highlight w:val="yellow"/>
        </w:rPr>
      </w:pPr>
    </w:p>
    <w:p w14:paraId="4629A5F1" w14:textId="77777777" w:rsidR="00C9644C" w:rsidRDefault="00C9644C" w:rsidP="0009083B">
      <w:pPr>
        <w:spacing w:after="0" w:line="240" w:lineRule="auto"/>
        <w:contextualSpacing/>
        <w:rPr>
          <w:highlight w:val="yellow"/>
        </w:rPr>
      </w:pPr>
    </w:p>
    <w:p w14:paraId="46CFDAAE" w14:textId="77777777" w:rsidR="00C9644C" w:rsidRDefault="00C9644C" w:rsidP="0009083B">
      <w:pPr>
        <w:spacing w:after="0" w:line="240" w:lineRule="auto"/>
        <w:contextualSpacing/>
        <w:rPr>
          <w:highlight w:val="yellow"/>
        </w:rPr>
      </w:pPr>
    </w:p>
    <w:p w14:paraId="2F050DAB" w14:textId="77777777" w:rsidR="00C9644C" w:rsidRDefault="00C9644C" w:rsidP="0009083B">
      <w:pPr>
        <w:spacing w:after="0" w:line="240" w:lineRule="auto"/>
        <w:contextualSpacing/>
        <w:rPr>
          <w:highlight w:val="yellow"/>
        </w:rPr>
      </w:pPr>
    </w:p>
    <w:p w14:paraId="6FEA2565" w14:textId="77777777" w:rsidR="00367EEA" w:rsidRDefault="00367EEA" w:rsidP="0009083B">
      <w:pPr>
        <w:spacing w:after="0" w:line="240" w:lineRule="auto"/>
        <w:contextualSpacing/>
        <w:rPr>
          <w:highlight w:val="yellow"/>
        </w:rPr>
      </w:pPr>
    </w:p>
    <w:p w14:paraId="04A99073" w14:textId="77777777" w:rsidR="00CF4076" w:rsidRDefault="00CF4076" w:rsidP="0009083B">
      <w:pPr>
        <w:spacing w:after="0" w:line="240" w:lineRule="auto"/>
        <w:contextualSpacing/>
        <w:rPr>
          <w:highlight w:val="yellow"/>
        </w:rPr>
      </w:pPr>
    </w:p>
    <w:tbl>
      <w:tblPr>
        <w:tblStyle w:val="LightShading-Accent5"/>
        <w:tblW w:w="10278" w:type="dxa"/>
        <w:jc w:val="center"/>
        <w:tblLook w:val="04A0" w:firstRow="1" w:lastRow="0" w:firstColumn="1" w:lastColumn="0" w:noHBand="0" w:noVBand="1"/>
      </w:tblPr>
      <w:tblGrid>
        <w:gridCol w:w="2988"/>
        <w:gridCol w:w="3330"/>
        <w:gridCol w:w="270"/>
        <w:gridCol w:w="3690"/>
      </w:tblGrid>
      <w:tr w:rsidR="0009083B" w:rsidRPr="00383EE8" w14:paraId="2E40A7E2" w14:textId="77777777" w:rsidTr="008F0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15707A2" w14:textId="77777777" w:rsidR="0009083B" w:rsidRPr="00383EE8" w:rsidRDefault="0009083B" w:rsidP="008F058F">
            <w:r w:rsidRPr="00383EE8">
              <w:lastRenderedPageBreak/>
              <w:t>Developed Non-U.S. Equities</w:t>
            </w:r>
          </w:p>
        </w:tc>
        <w:tc>
          <w:tcPr>
            <w:tcW w:w="3330" w:type="dxa"/>
          </w:tcPr>
          <w:p w14:paraId="62CCCCE2" w14:textId="77777777" w:rsidR="0009083B" w:rsidRPr="00383EE8" w:rsidRDefault="004E38C5" w:rsidP="004E3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1727">
              <w:rPr>
                <w:color w:val="auto"/>
              </w:rPr>
              <w:t xml:space="preserve">NEUTRAL to </w:t>
            </w:r>
            <w:r w:rsidRPr="00D31727">
              <w:rPr>
                <w:color w:val="00B050"/>
              </w:rPr>
              <w:t>POSITIVE</w:t>
            </w:r>
            <w:r w:rsidRPr="00D31727">
              <w:rPr>
                <w:color w:val="auto"/>
              </w:rPr>
              <w:t xml:space="preserve">  </w:t>
            </w:r>
          </w:p>
        </w:tc>
        <w:tc>
          <w:tcPr>
            <w:tcW w:w="270" w:type="dxa"/>
          </w:tcPr>
          <w:p w14:paraId="65DCDDAE" w14:textId="77777777" w:rsidR="0009083B" w:rsidRPr="00383EE8" w:rsidRDefault="0009083B" w:rsidP="008F0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65314569" w14:textId="77777777" w:rsidR="0009083B" w:rsidRPr="00383EE8" w:rsidRDefault="00383EE8" w:rsidP="001721B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1BA">
              <w:t>$</w:t>
            </w:r>
            <w:r w:rsidR="001721BA" w:rsidRPr="001721BA">
              <w:t>9.6</w:t>
            </w:r>
            <w:r w:rsidR="0009083B" w:rsidRPr="001721BA">
              <w:t xml:space="preserve"> </w:t>
            </w:r>
            <w:proofErr w:type="spellStart"/>
            <w:r w:rsidR="0009083B" w:rsidRPr="001721BA">
              <w:t>bn</w:t>
            </w:r>
            <w:proofErr w:type="spellEnd"/>
            <w:r w:rsidR="0009083B" w:rsidRPr="001721BA">
              <w:t xml:space="preserve"> / </w:t>
            </w:r>
            <w:r w:rsidR="00D12170" w:rsidRPr="001721BA">
              <w:t>16.</w:t>
            </w:r>
            <w:r w:rsidR="001721BA" w:rsidRPr="001721BA">
              <w:t>3</w:t>
            </w:r>
            <w:r w:rsidR="0009083B" w:rsidRPr="001721BA">
              <w:t>% of Fund</w:t>
            </w:r>
          </w:p>
        </w:tc>
      </w:tr>
    </w:tbl>
    <w:p w14:paraId="017561AC" w14:textId="77777777" w:rsidR="0009083B" w:rsidRPr="00C7706E" w:rsidRDefault="0009083B" w:rsidP="0009083B">
      <w:pPr>
        <w:spacing w:after="0" w:line="240" w:lineRule="auto"/>
        <w:ind w:left="360"/>
      </w:pPr>
      <w:r w:rsidRPr="00383EE8">
        <w:t>Market Data &amp; Indicators</w:t>
      </w:r>
    </w:p>
    <w:p w14:paraId="0F30AB6D" w14:textId="77777777" w:rsidR="0009083B" w:rsidRPr="0013708F" w:rsidRDefault="0009083B" w:rsidP="0009083B">
      <w:pPr>
        <w:numPr>
          <w:ilvl w:val="0"/>
          <w:numId w:val="3"/>
        </w:numPr>
        <w:spacing w:after="0" w:line="240" w:lineRule="auto"/>
        <w:contextualSpacing/>
      </w:pPr>
      <w:r w:rsidRPr="0013708F">
        <w:t>Macro:</w:t>
      </w:r>
      <w:r w:rsidRPr="0013708F">
        <w:tab/>
      </w:r>
      <w:r w:rsidRPr="0013708F">
        <w:tab/>
      </w:r>
      <w:r w:rsidRPr="0013708F">
        <w:tab/>
      </w:r>
      <w:r w:rsidR="00650FC2" w:rsidRPr="0013708F">
        <w:rPr>
          <w:b/>
        </w:rPr>
        <w:t>NEUTRAL to</w:t>
      </w:r>
      <w:r w:rsidR="00650FC2" w:rsidRPr="0013708F">
        <w:t xml:space="preserve"> </w:t>
      </w:r>
      <w:r w:rsidR="00650FC2" w:rsidRPr="0013708F">
        <w:rPr>
          <w:b/>
          <w:color w:val="00B050"/>
        </w:rPr>
        <w:t>POSITIVE</w:t>
      </w:r>
    </w:p>
    <w:p w14:paraId="592D20F5" w14:textId="77777777" w:rsidR="0009083B" w:rsidRPr="0013708F" w:rsidRDefault="0013708F" w:rsidP="0009083B">
      <w:pPr>
        <w:numPr>
          <w:ilvl w:val="0"/>
          <w:numId w:val="2"/>
        </w:numPr>
        <w:spacing w:after="0" w:line="240" w:lineRule="auto"/>
        <w:contextualSpacing/>
      </w:pPr>
      <w:r w:rsidRPr="0013708F">
        <w:t>Eurozone outlook positive</w:t>
      </w:r>
      <w:r w:rsidR="0009083B" w:rsidRPr="0013708F">
        <w:t>:</w:t>
      </w:r>
    </w:p>
    <w:p w14:paraId="13906E8F" w14:textId="77777777" w:rsidR="00DB07F8" w:rsidRDefault="0009083B" w:rsidP="00DB07F8">
      <w:pPr>
        <w:numPr>
          <w:ilvl w:val="1"/>
          <w:numId w:val="2"/>
        </w:numPr>
        <w:spacing w:after="0" w:line="240" w:lineRule="auto"/>
        <w:contextualSpacing/>
      </w:pPr>
      <w:r w:rsidRPr="0013708F">
        <w:t xml:space="preserve">European Central Bank quantitative easing program </w:t>
      </w:r>
      <w:r w:rsidR="00032358" w:rsidRPr="0013708F">
        <w:t>is supportive of markets.</w:t>
      </w:r>
    </w:p>
    <w:p w14:paraId="33562A5D" w14:textId="787DB6C1" w:rsidR="0009083B" w:rsidRPr="0013708F" w:rsidRDefault="00DB07F8" w:rsidP="00DB07F8">
      <w:pPr>
        <w:numPr>
          <w:ilvl w:val="1"/>
          <w:numId w:val="2"/>
        </w:numPr>
        <w:spacing w:after="0" w:line="240" w:lineRule="auto"/>
        <w:contextualSpacing/>
      </w:pPr>
      <w:r w:rsidRPr="00032358">
        <w:t>Real GDP growth in the Eurozone rose to 1.7% in 3Q15 vs. 1.5% in 2Q15.</w:t>
      </w:r>
    </w:p>
    <w:p w14:paraId="0BA3FB5E" w14:textId="77777777" w:rsidR="0009083B" w:rsidRPr="00032358" w:rsidRDefault="0009083B" w:rsidP="008F47BA">
      <w:pPr>
        <w:numPr>
          <w:ilvl w:val="1"/>
          <w:numId w:val="2"/>
        </w:numPr>
        <w:spacing w:after="0" w:line="240" w:lineRule="auto"/>
        <w:contextualSpacing/>
      </w:pPr>
      <w:r w:rsidRPr="0013708F">
        <w:t>The Euro</w:t>
      </w:r>
      <w:r w:rsidRPr="00032358">
        <w:t xml:space="preserve"> </w:t>
      </w:r>
      <w:r w:rsidR="001E6E34" w:rsidRPr="00032358">
        <w:t xml:space="preserve">remained flat for the quarter at </w:t>
      </w:r>
      <w:r w:rsidR="008F47BA" w:rsidRPr="00032358">
        <w:t>1.1</w:t>
      </w:r>
      <w:r w:rsidR="001E6E34" w:rsidRPr="00032358">
        <w:t>2 as of 9</w:t>
      </w:r>
      <w:r w:rsidR="00925BE2" w:rsidRPr="00032358">
        <w:t>/30/2015</w:t>
      </w:r>
      <w:r w:rsidR="001E6E34" w:rsidRPr="00032358">
        <w:t xml:space="preserve">. </w:t>
      </w:r>
    </w:p>
    <w:p w14:paraId="2CEF06DD" w14:textId="77777777" w:rsidR="0009083B" w:rsidRPr="00032358" w:rsidRDefault="0009083B" w:rsidP="0009083B">
      <w:pPr>
        <w:numPr>
          <w:ilvl w:val="1"/>
          <w:numId w:val="2"/>
        </w:numPr>
        <w:spacing w:after="0" w:line="240" w:lineRule="auto"/>
        <w:contextualSpacing/>
      </w:pPr>
      <w:r w:rsidRPr="00032358">
        <w:t>The weak Euro has boosted recovery e</w:t>
      </w:r>
      <w:r w:rsidR="00032358" w:rsidRPr="00032358">
        <w:t xml:space="preserve">xpectations in Europe for 2015. </w:t>
      </w:r>
    </w:p>
    <w:p w14:paraId="02A679BB" w14:textId="77777777" w:rsidR="0009083B" w:rsidRPr="0013708F" w:rsidRDefault="005F753D" w:rsidP="0009083B">
      <w:pPr>
        <w:numPr>
          <w:ilvl w:val="1"/>
          <w:numId w:val="2"/>
        </w:numPr>
        <w:spacing w:after="0" w:line="240" w:lineRule="auto"/>
        <w:contextualSpacing/>
      </w:pPr>
      <w:r w:rsidRPr="0013708F">
        <w:t>U</w:t>
      </w:r>
      <w:r w:rsidR="0009083B" w:rsidRPr="0013708F">
        <w:t>nemp</w:t>
      </w:r>
      <w:r w:rsidR="001E6E34" w:rsidRPr="0013708F">
        <w:t>loyment remains high at 11.0</w:t>
      </w:r>
      <w:r w:rsidRPr="0013708F">
        <w:t xml:space="preserve">%, but </w:t>
      </w:r>
      <w:r w:rsidR="00B836E9" w:rsidRPr="0013708F">
        <w:t xml:space="preserve">steadily dropping </w:t>
      </w:r>
      <w:r w:rsidRPr="0013708F">
        <w:t>from 12.1</w:t>
      </w:r>
      <w:r w:rsidR="00D02999" w:rsidRPr="0013708F">
        <w:t>%</w:t>
      </w:r>
      <w:r w:rsidRPr="0013708F">
        <w:t xml:space="preserve"> two years ago. </w:t>
      </w:r>
    </w:p>
    <w:p w14:paraId="47989D40" w14:textId="77777777" w:rsidR="0009083B" w:rsidRPr="0013708F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13708F">
        <w:t>Japan mixed:</w:t>
      </w:r>
    </w:p>
    <w:p w14:paraId="44D5816F" w14:textId="77777777" w:rsidR="0009083B" w:rsidRDefault="00675E33" w:rsidP="0009083B">
      <w:pPr>
        <w:numPr>
          <w:ilvl w:val="1"/>
          <w:numId w:val="2"/>
        </w:numPr>
        <w:spacing w:after="0" w:line="240" w:lineRule="auto"/>
        <w:contextualSpacing/>
      </w:pPr>
      <w:r w:rsidRPr="0013708F">
        <w:t>Japanese</w:t>
      </w:r>
      <w:r w:rsidRPr="00675E33">
        <w:t xml:space="preserve"> markets were down -</w:t>
      </w:r>
      <w:r w:rsidR="0009083B" w:rsidRPr="00675E33">
        <w:t>1</w:t>
      </w:r>
      <w:r w:rsidRPr="00675E33">
        <w:t>1.7% in USD terms in Q3</w:t>
      </w:r>
      <w:r w:rsidR="00C14E3C">
        <w:t>.</w:t>
      </w:r>
    </w:p>
    <w:p w14:paraId="4DD3605B" w14:textId="77777777" w:rsidR="00C14E3C" w:rsidRPr="00675E33" w:rsidRDefault="00C14E3C" w:rsidP="0009083B">
      <w:pPr>
        <w:numPr>
          <w:ilvl w:val="1"/>
          <w:numId w:val="2"/>
        </w:numPr>
        <w:spacing w:after="0" w:line="240" w:lineRule="auto"/>
        <w:contextualSpacing/>
      </w:pPr>
      <w:r>
        <w:t>Weak demand in China hurt</w:t>
      </w:r>
      <w:r w:rsidR="00010A41">
        <w:t xml:space="preserve">s </w:t>
      </w:r>
      <w:r>
        <w:t xml:space="preserve">Japanese exporters. </w:t>
      </w:r>
    </w:p>
    <w:p w14:paraId="41246584" w14:textId="77777777" w:rsidR="0009083B" w:rsidRPr="0013708F" w:rsidRDefault="0009083B" w:rsidP="0009083B">
      <w:pPr>
        <w:numPr>
          <w:ilvl w:val="1"/>
          <w:numId w:val="2"/>
        </w:numPr>
        <w:spacing w:after="0" w:line="240" w:lineRule="auto"/>
      </w:pPr>
      <w:r w:rsidRPr="0013708F">
        <w:t xml:space="preserve">Japanese markets </w:t>
      </w:r>
      <w:r w:rsidR="00C14E3C" w:rsidRPr="0013708F">
        <w:t>benefit</w:t>
      </w:r>
      <w:r w:rsidRPr="0013708F">
        <w:t xml:space="preserve"> from its nation’s </w:t>
      </w:r>
      <w:r w:rsidR="00C14E3C" w:rsidRPr="0013708F">
        <w:t>corporate governance policies</w:t>
      </w:r>
      <w:r w:rsidRPr="0013708F">
        <w:t xml:space="preserve">, </w:t>
      </w:r>
      <w:proofErr w:type="spellStart"/>
      <w:r w:rsidRPr="0013708F">
        <w:t>Abenomics</w:t>
      </w:r>
      <w:proofErr w:type="spellEnd"/>
      <w:r w:rsidRPr="0013708F">
        <w:t xml:space="preserve"> pro-shareholde</w:t>
      </w:r>
      <w:r w:rsidR="00675E33" w:rsidRPr="0013708F">
        <w:t>r agenda, and a weaker yen (-2.1% in Q3</w:t>
      </w:r>
      <w:r w:rsidRPr="0013708F">
        <w:t xml:space="preserve">). </w:t>
      </w:r>
    </w:p>
    <w:p w14:paraId="2C57465B" w14:textId="77777777" w:rsidR="0009083B" w:rsidRPr="00DA1EF2" w:rsidRDefault="0009083B" w:rsidP="0009083B">
      <w:pPr>
        <w:spacing w:after="0" w:line="240" w:lineRule="auto"/>
        <w:ind w:left="1440"/>
        <w:contextualSpacing/>
      </w:pPr>
    </w:p>
    <w:p w14:paraId="2B32DCE3" w14:textId="0D59A083" w:rsidR="0009083B" w:rsidRPr="001F5BF8" w:rsidRDefault="0009083B" w:rsidP="0009083B">
      <w:pPr>
        <w:numPr>
          <w:ilvl w:val="0"/>
          <w:numId w:val="3"/>
        </w:numPr>
        <w:spacing w:after="0" w:line="240" w:lineRule="auto"/>
        <w:contextualSpacing/>
      </w:pPr>
      <w:r w:rsidRPr="001F5BF8">
        <w:t>Valuation:</w:t>
      </w:r>
      <w:r w:rsidRPr="001F5BF8">
        <w:tab/>
      </w:r>
      <w:r w:rsidRPr="001F5BF8">
        <w:tab/>
      </w:r>
      <w:r w:rsidR="00DB2BEA" w:rsidRPr="0013708F">
        <w:rPr>
          <w:b/>
        </w:rPr>
        <w:t>NEUTRAL to</w:t>
      </w:r>
      <w:r w:rsidR="00DB2BEA" w:rsidRPr="0013708F">
        <w:t xml:space="preserve"> </w:t>
      </w:r>
      <w:r w:rsidR="00DB2BEA" w:rsidRPr="0013708F">
        <w:rPr>
          <w:b/>
          <w:color w:val="00B050"/>
        </w:rPr>
        <w:t>POSITIVE</w:t>
      </w:r>
      <w:r w:rsidR="000D7571" w:rsidRPr="001F5BF8">
        <w:rPr>
          <w:b/>
        </w:rPr>
        <w:t xml:space="preserve"> </w:t>
      </w:r>
    </w:p>
    <w:p w14:paraId="5950C369" w14:textId="77777777" w:rsidR="0009083B" w:rsidRPr="001F5BF8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1F5BF8">
        <w:t xml:space="preserve">MSCI World Ex-US </w:t>
      </w:r>
      <w:r w:rsidR="00675E33" w:rsidRPr="001F5BF8">
        <w:t>P/E (NTM)</w:t>
      </w:r>
      <w:r w:rsidR="00B410F1" w:rsidRPr="001F5BF8">
        <w:t xml:space="preserve"> fell to</w:t>
      </w:r>
      <w:r w:rsidR="00675E33" w:rsidRPr="001F5BF8">
        <w:t xml:space="preserve"> 13.8x vs. </w:t>
      </w:r>
      <w:r w:rsidR="00B410F1" w:rsidRPr="001F5BF8">
        <w:t>15.2 in 2Q15</w:t>
      </w:r>
      <w:r w:rsidR="0013708F">
        <w:t>, approaching</w:t>
      </w:r>
      <w:r w:rsidR="00B410F1" w:rsidRPr="001F5BF8">
        <w:t xml:space="preserve"> the </w:t>
      </w:r>
      <w:r w:rsidR="00675E33" w:rsidRPr="001F5BF8">
        <w:t>5yr average</w:t>
      </w:r>
      <w:r w:rsidR="00B410F1" w:rsidRPr="001F5BF8">
        <w:t xml:space="preserve"> of 12.9x</w:t>
      </w:r>
      <w:r w:rsidR="00675E33" w:rsidRPr="001F5BF8">
        <w:t xml:space="preserve">, </w:t>
      </w:r>
      <w:r w:rsidR="00B410F1" w:rsidRPr="001F5BF8">
        <w:t>(</w:t>
      </w:r>
      <w:r w:rsidR="00675E33" w:rsidRPr="001F5BF8">
        <w:t>0.5</w:t>
      </w:r>
      <w:r w:rsidR="00B410F1" w:rsidRPr="001F5BF8">
        <w:t xml:space="preserve"> standard deviations).</w:t>
      </w:r>
    </w:p>
    <w:p w14:paraId="0A656FE9" w14:textId="77777777" w:rsidR="0009083B" w:rsidRPr="001F5BF8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1F5BF8">
        <w:t xml:space="preserve">Earnings growth (NTM) </w:t>
      </w:r>
      <w:r w:rsidR="00675E33" w:rsidRPr="001F5BF8">
        <w:t>weakened in</w:t>
      </w:r>
      <w:r w:rsidRPr="001F5BF8">
        <w:t xml:space="preserve"> </w:t>
      </w:r>
      <w:r w:rsidR="00675E33" w:rsidRPr="001F5BF8">
        <w:t>3Q15: 7.8% vs. 8.1% in 2</w:t>
      </w:r>
      <w:r w:rsidRPr="001F5BF8">
        <w:t>Q15 (-</w:t>
      </w:r>
      <w:r w:rsidR="00675E33" w:rsidRPr="001F5BF8">
        <w:t>1</w:t>
      </w:r>
      <w:r w:rsidRPr="001F5BF8">
        <w:t>.3 standard deviations below the mean</w:t>
      </w:r>
      <w:r w:rsidR="00B410F1" w:rsidRPr="001F5BF8">
        <w:t xml:space="preserve"> of 12%).</w:t>
      </w:r>
    </w:p>
    <w:p w14:paraId="7082EC2C" w14:textId="77777777" w:rsidR="0009083B" w:rsidRPr="00675E33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1F5BF8">
        <w:t>Net margins in Europe at 7</w:t>
      </w:r>
      <w:r w:rsidRPr="00675E33">
        <w:t>.6% are above the 5-yr average of 7.4</w:t>
      </w:r>
      <w:r w:rsidR="00D12170" w:rsidRPr="00675E33">
        <w:t>%</w:t>
      </w:r>
      <w:r w:rsidRPr="00675E33">
        <w:t xml:space="preserve">, but well below the US at 10.6%, leaving room for margin expansion, especially considering the weak Euro. </w:t>
      </w:r>
    </w:p>
    <w:p w14:paraId="69AB4C78" w14:textId="77777777" w:rsidR="0009083B" w:rsidRPr="00675E33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675E33">
        <w:t>Japanese net marg</w:t>
      </w:r>
      <w:r w:rsidR="00675E33" w:rsidRPr="00675E33">
        <w:t>ins remain relatively high at 5.6% vs. 4.3% 5-yr average (2.0 standard deviations above the mean)</w:t>
      </w:r>
      <w:r w:rsidR="00675E33" w:rsidRPr="00675E33">
        <w:rPr>
          <w:rFonts w:ascii="Calibri" w:hAnsi="Calibri"/>
          <w:color w:val="000000"/>
          <w:sz w:val="23"/>
          <w:szCs w:val="23"/>
        </w:rPr>
        <w:t xml:space="preserve"> </w:t>
      </w:r>
    </w:p>
    <w:p w14:paraId="6BA1746D" w14:textId="77777777" w:rsidR="0009083B" w:rsidRPr="00B410F1" w:rsidRDefault="0009083B" w:rsidP="0009083B">
      <w:pPr>
        <w:spacing w:after="0" w:line="240" w:lineRule="auto"/>
      </w:pPr>
    </w:p>
    <w:p w14:paraId="2BFC7BD3" w14:textId="77777777" w:rsidR="0009083B" w:rsidRPr="00B410F1" w:rsidRDefault="0009083B" w:rsidP="0009083B">
      <w:pPr>
        <w:numPr>
          <w:ilvl w:val="0"/>
          <w:numId w:val="3"/>
        </w:numPr>
        <w:spacing w:after="0" w:line="240" w:lineRule="auto"/>
        <w:contextualSpacing/>
      </w:pPr>
      <w:r w:rsidRPr="00B410F1">
        <w:t>Sentiment:</w:t>
      </w:r>
      <w:r w:rsidRPr="00B410F1">
        <w:tab/>
      </w:r>
      <w:r w:rsidRPr="00B410F1">
        <w:tab/>
      </w:r>
      <w:r w:rsidRPr="00B410F1">
        <w:rPr>
          <w:b/>
        </w:rPr>
        <w:t xml:space="preserve">NEUTRAL </w:t>
      </w:r>
    </w:p>
    <w:p w14:paraId="10271BCE" w14:textId="77777777" w:rsidR="0009083B" w:rsidRPr="00B410F1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B410F1">
        <w:t xml:space="preserve">European markets </w:t>
      </w:r>
      <w:r w:rsidR="006B721F" w:rsidRPr="00B410F1">
        <w:t xml:space="preserve">remain volatile as the Euro </w:t>
      </w:r>
      <w:proofErr w:type="spellStart"/>
      <w:r w:rsidR="006B721F" w:rsidRPr="00B410F1">
        <w:t>Stoxx</w:t>
      </w:r>
      <w:proofErr w:type="spellEnd"/>
      <w:r w:rsidR="006B721F" w:rsidRPr="00B410F1">
        <w:t xml:space="preserve"> 50 Volatility closed 3Q15 at 32.0, unchanged from last quarter. </w:t>
      </w:r>
    </w:p>
    <w:p w14:paraId="4762729F" w14:textId="77777777" w:rsidR="0009083B" w:rsidRPr="00B410F1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B410F1">
        <w:t>Consumer confidence in</w:t>
      </w:r>
      <w:r w:rsidR="00B410F1" w:rsidRPr="00B410F1">
        <w:t xml:space="preserve"> the Eurozone rose to 105.6 vs. 103.5 last quarter</w:t>
      </w:r>
      <w:r w:rsidRPr="00B410F1">
        <w:t xml:space="preserve">, </w:t>
      </w:r>
      <w:r w:rsidR="00B410F1" w:rsidRPr="00B410F1">
        <w:t>well above the 5-year average of 98.5</w:t>
      </w:r>
      <w:r w:rsidRPr="00B410F1">
        <w:t xml:space="preserve">.  </w:t>
      </w:r>
    </w:p>
    <w:p w14:paraId="26D40DDD" w14:textId="77777777" w:rsidR="0009083B" w:rsidRPr="000A6333" w:rsidRDefault="0009083B" w:rsidP="0009083B">
      <w:pPr>
        <w:spacing w:after="0" w:line="240" w:lineRule="auto"/>
        <w:ind w:left="1080"/>
      </w:pPr>
    </w:p>
    <w:p w14:paraId="3024916E" w14:textId="77777777" w:rsidR="0009083B" w:rsidRPr="00394740" w:rsidRDefault="0009083B" w:rsidP="0009083B">
      <w:pPr>
        <w:numPr>
          <w:ilvl w:val="0"/>
          <w:numId w:val="3"/>
        </w:numPr>
        <w:spacing w:after="0" w:line="240" w:lineRule="auto"/>
        <w:contextualSpacing/>
      </w:pPr>
      <w:r w:rsidRPr="00394740">
        <w:t>Momentum:</w:t>
      </w:r>
      <w:r w:rsidRPr="00394740">
        <w:tab/>
      </w:r>
      <w:r w:rsidRPr="00394740">
        <w:tab/>
        <w:t xml:space="preserve"> </w:t>
      </w:r>
      <w:r w:rsidR="00394740" w:rsidRPr="00394740">
        <w:rPr>
          <w:b/>
          <w:color w:val="FF0000"/>
        </w:rPr>
        <w:t>NEGATIVE</w:t>
      </w:r>
    </w:p>
    <w:p w14:paraId="05EC0101" w14:textId="77777777" w:rsidR="0009083B" w:rsidRPr="00394740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394740">
        <w:t>MSCI World ex US:</w:t>
      </w:r>
    </w:p>
    <w:p w14:paraId="49EF473F" w14:textId="77777777" w:rsidR="00394740" w:rsidRPr="006F1524" w:rsidRDefault="00394740" w:rsidP="00394740">
      <w:pPr>
        <w:numPr>
          <w:ilvl w:val="1"/>
          <w:numId w:val="2"/>
        </w:numPr>
        <w:spacing w:after="0" w:line="240" w:lineRule="auto"/>
        <w:contextualSpacing/>
      </w:pPr>
      <w:r w:rsidRPr="006F1524">
        <w:t>All measures of Momentum are negative</w:t>
      </w:r>
      <w:r>
        <w:t>;</w:t>
      </w:r>
      <w:r w:rsidRPr="006F1524">
        <w:t xml:space="preserve"> </w:t>
      </w:r>
      <w:r>
        <w:t xml:space="preserve">the </w:t>
      </w:r>
      <w:r w:rsidRPr="006F1524">
        <w:t>50DMA</w:t>
      </w:r>
      <w:r>
        <w:t xml:space="preserve">, </w:t>
      </w:r>
      <w:r w:rsidRPr="006F1524">
        <w:t>200DMA</w:t>
      </w:r>
      <w:r>
        <w:t xml:space="preserve"> and the 200DMA-50DMA</w:t>
      </w:r>
      <w:r w:rsidRPr="006F1524">
        <w:t xml:space="preserve">. </w:t>
      </w:r>
    </w:p>
    <w:p w14:paraId="7B8D2B74" w14:textId="77777777" w:rsidR="00394740" w:rsidRPr="006F1524" w:rsidRDefault="00394740" w:rsidP="00394740">
      <w:pPr>
        <w:numPr>
          <w:ilvl w:val="1"/>
          <w:numId w:val="2"/>
        </w:numPr>
        <w:spacing w:after="0" w:line="240" w:lineRule="auto"/>
        <w:contextualSpacing/>
      </w:pPr>
      <w:r w:rsidRPr="006F1524">
        <w:t xml:space="preserve">The 50DMA crossed the 200DMA </w:t>
      </w:r>
      <w:r>
        <w:t>in a “death cross”</w:t>
      </w:r>
      <w:r w:rsidRPr="000E35A1">
        <w:t xml:space="preserve"> on August 24</w:t>
      </w:r>
      <w:r>
        <w:t xml:space="preserve">. </w:t>
      </w:r>
    </w:p>
    <w:p w14:paraId="71C8ECBC" w14:textId="77777777" w:rsidR="00383B4F" w:rsidRDefault="00383B4F" w:rsidP="00383B4F">
      <w:pPr>
        <w:spacing w:after="0" w:line="240" w:lineRule="auto"/>
        <w:ind w:left="2160"/>
        <w:contextualSpacing/>
        <w:rPr>
          <w:highlight w:val="yellow"/>
        </w:rPr>
      </w:pPr>
    </w:p>
    <w:p w14:paraId="442EE235" w14:textId="77777777" w:rsidR="00675E33" w:rsidRDefault="00675E33" w:rsidP="00383B4F">
      <w:pPr>
        <w:spacing w:after="0" w:line="240" w:lineRule="auto"/>
        <w:ind w:left="2160"/>
        <w:contextualSpacing/>
        <w:rPr>
          <w:highlight w:val="yellow"/>
        </w:rPr>
      </w:pPr>
    </w:p>
    <w:p w14:paraId="55A8D31C" w14:textId="77777777" w:rsidR="00675E33" w:rsidRDefault="00675E33" w:rsidP="00383B4F">
      <w:pPr>
        <w:spacing w:after="0" w:line="240" w:lineRule="auto"/>
        <w:ind w:left="2160"/>
        <w:contextualSpacing/>
        <w:rPr>
          <w:highlight w:val="yellow"/>
        </w:rPr>
      </w:pPr>
    </w:p>
    <w:p w14:paraId="48B7BA6E" w14:textId="77777777" w:rsidR="00675E33" w:rsidRDefault="00675E33" w:rsidP="00383B4F">
      <w:pPr>
        <w:spacing w:after="0" w:line="240" w:lineRule="auto"/>
        <w:ind w:left="2160"/>
        <w:contextualSpacing/>
        <w:rPr>
          <w:highlight w:val="yellow"/>
        </w:rPr>
      </w:pPr>
    </w:p>
    <w:p w14:paraId="4B77DEF5" w14:textId="77777777" w:rsidR="00705184" w:rsidRDefault="00705184" w:rsidP="00383B4F">
      <w:pPr>
        <w:spacing w:after="0" w:line="240" w:lineRule="auto"/>
        <w:ind w:left="2160"/>
        <w:contextualSpacing/>
        <w:rPr>
          <w:highlight w:val="yellow"/>
        </w:rPr>
      </w:pPr>
    </w:p>
    <w:p w14:paraId="50B14467" w14:textId="77777777" w:rsidR="00F26C80" w:rsidRDefault="00F26C80" w:rsidP="00383B4F">
      <w:pPr>
        <w:spacing w:after="0" w:line="240" w:lineRule="auto"/>
        <w:ind w:left="2160"/>
        <w:contextualSpacing/>
        <w:rPr>
          <w:highlight w:val="yellow"/>
        </w:rPr>
      </w:pPr>
    </w:p>
    <w:p w14:paraId="3B9A16BC" w14:textId="77777777" w:rsidR="00F26C80" w:rsidRDefault="00F26C80" w:rsidP="00383B4F">
      <w:pPr>
        <w:spacing w:after="0" w:line="240" w:lineRule="auto"/>
        <w:ind w:left="2160"/>
        <w:contextualSpacing/>
        <w:rPr>
          <w:highlight w:val="yellow"/>
        </w:rPr>
      </w:pPr>
    </w:p>
    <w:p w14:paraId="2166F2AE" w14:textId="77777777" w:rsidR="00367EEA" w:rsidRDefault="00367EEA" w:rsidP="00383B4F">
      <w:pPr>
        <w:spacing w:after="0" w:line="240" w:lineRule="auto"/>
        <w:ind w:left="2160"/>
        <w:contextualSpacing/>
        <w:rPr>
          <w:highlight w:val="yellow"/>
        </w:rPr>
      </w:pPr>
    </w:p>
    <w:p w14:paraId="0578C286" w14:textId="77777777" w:rsidR="00367EEA" w:rsidRDefault="00367EEA" w:rsidP="00383B4F">
      <w:pPr>
        <w:spacing w:after="0" w:line="240" w:lineRule="auto"/>
        <w:ind w:left="2160"/>
        <w:contextualSpacing/>
        <w:rPr>
          <w:highlight w:val="yellow"/>
        </w:rPr>
      </w:pPr>
    </w:p>
    <w:p w14:paraId="04CB42D5" w14:textId="77777777" w:rsidR="00675E33" w:rsidRDefault="00675E33" w:rsidP="00383B4F">
      <w:pPr>
        <w:spacing w:after="0" w:line="240" w:lineRule="auto"/>
        <w:ind w:left="2160"/>
        <w:contextualSpacing/>
        <w:rPr>
          <w:highlight w:val="yellow"/>
        </w:rPr>
      </w:pPr>
    </w:p>
    <w:tbl>
      <w:tblPr>
        <w:tblStyle w:val="LightShading-Accent5"/>
        <w:tblW w:w="9918" w:type="dxa"/>
        <w:jc w:val="center"/>
        <w:tblLook w:val="04A0" w:firstRow="1" w:lastRow="0" w:firstColumn="1" w:lastColumn="0" w:noHBand="0" w:noVBand="1"/>
      </w:tblPr>
      <w:tblGrid>
        <w:gridCol w:w="2718"/>
        <w:gridCol w:w="3510"/>
        <w:gridCol w:w="270"/>
        <w:gridCol w:w="3420"/>
      </w:tblGrid>
      <w:tr w:rsidR="00383B4F" w:rsidRPr="006F5775" w14:paraId="3CE5EE32" w14:textId="77777777" w:rsidTr="0027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4CFA90B" w14:textId="77777777" w:rsidR="00383B4F" w:rsidRPr="006F5775" w:rsidRDefault="00383B4F" w:rsidP="008F058F">
            <w:r w:rsidRPr="006F5775">
              <w:lastRenderedPageBreak/>
              <w:br w:type="page"/>
              <w:t>Emerging Market Equities</w:t>
            </w:r>
          </w:p>
        </w:tc>
        <w:tc>
          <w:tcPr>
            <w:tcW w:w="3510" w:type="dxa"/>
          </w:tcPr>
          <w:p w14:paraId="2D94BF4C" w14:textId="77777777" w:rsidR="00383B4F" w:rsidRPr="006F5775" w:rsidRDefault="00383B4F" w:rsidP="006F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775">
              <w:rPr>
                <w:color w:val="auto"/>
              </w:rPr>
              <w:t xml:space="preserve">   </w:t>
            </w:r>
            <w:r w:rsidR="003660F9" w:rsidRPr="006F5775">
              <w:rPr>
                <w:color w:val="auto"/>
              </w:rPr>
              <w:t xml:space="preserve">NEUTRAL </w:t>
            </w:r>
          </w:p>
        </w:tc>
        <w:tc>
          <w:tcPr>
            <w:tcW w:w="270" w:type="dxa"/>
          </w:tcPr>
          <w:p w14:paraId="3E7B9835" w14:textId="77777777" w:rsidR="00383B4F" w:rsidRPr="006F5775" w:rsidRDefault="00383B4F" w:rsidP="008F0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268AFBAD" w14:textId="77777777" w:rsidR="00383B4F" w:rsidRPr="006F5775" w:rsidRDefault="00383B4F" w:rsidP="001721B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775">
              <w:t xml:space="preserve">$4.0 </w:t>
            </w:r>
            <w:proofErr w:type="spellStart"/>
            <w:r w:rsidRPr="006F5775">
              <w:t>bn</w:t>
            </w:r>
            <w:proofErr w:type="spellEnd"/>
            <w:r w:rsidRPr="006F5775">
              <w:t xml:space="preserve"> / 6.</w:t>
            </w:r>
            <w:r w:rsidR="001721BA" w:rsidRPr="006F5775">
              <w:t>8</w:t>
            </w:r>
            <w:r w:rsidRPr="006F5775">
              <w:t>% of Fund</w:t>
            </w:r>
          </w:p>
        </w:tc>
      </w:tr>
    </w:tbl>
    <w:p w14:paraId="5BEFBF8A" w14:textId="77777777" w:rsidR="00383B4F" w:rsidRPr="006F5775" w:rsidRDefault="00383B4F" w:rsidP="00383B4F">
      <w:pPr>
        <w:spacing w:after="0" w:line="240" w:lineRule="auto"/>
        <w:ind w:left="360"/>
      </w:pPr>
      <w:r w:rsidRPr="006F5775">
        <w:t>Market Data &amp; Indicators</w:t>
      </w:r>
    </w:p>
    <w:p w14:paraId="179406FF" w14:textId="77777777" w:rsidR="00383B4F" w:rsidRPr="006F5775" w:rsidRDefault="00383B4F" w:rsidP="00383B4F">
      <w:pPr>
        <w:numPr>
          <w:ilvl w:val="0"/>
          <w:numId w:val="4"/>
        </w:numPr>
        <w:spacing w:after="0" w:line="240" w:lineRule="auto"/>
        <w:contextualSpacing/>
      </w:pPr>
      <w:r w:rsidRPr="006F5775">
        <w:t>Macro:</w:t>
      </w:r>
      <w:r w:rsidRPr="006F5775">
        <w:tab/>
      </w:r>
      <w:r w:rsidRPr="006F5775">
        <w:tab/>
      </w:r>
      <w:r w:rsidRPr="006F5775">
        <w:tab/>
      </w:r>
      <w:r w:rsidR="006F5775" w:rsidRPr="006F5775">
        <w:rPr>
          <w:b/>
          <w:color w:val="FF0000"/>
        </w:rPr>
        <w:t>NEGATIVE</w:t>
      </w:r>
      <w:r w:rsidR="006F5775" w:rsidRPr="006F5775">
        <w:rPr>
          <w:b/>
        </w:rPr>
        <w:t xml:space="preserve">  </w:t>
      </w:r>
    </w:p>
    <w:p w14:paraId="24DD33C3" w14:textId="77777777" w:rsidR="00B10B5F" w:rsidRPr="006F5775" w:rsidRDefault="006B721F" w:rsidP="00B10B5F">
      <w:pPr>
        <w:numPr>
          <w:ilvl w:val="0"/>
          <w:numId w:val="2"/>
        </w:numPr>
        <w:spacing w:after="0" w:line="240" w:lineRule="auto"/>
        <w:contextualSpacing/>
      </w:pPr>
      <w:r w:rsidRPr="006F5775">
        <w:t>Emerging markets fell -17.8% in Q3</w:t>
      </w:r>
      <w:r w:rsidR="00B10B5F" w:rsidRPr="006F5775">
        <w:t>,</w:t>
      </w:r>
      <w:r w:rsidRPr="006F5775">
        <w:t xml:space="preserve"> under</w:t>
      </w:r>
      <w:r w:rsidR="00B10B5F" w:rsidRPr="006F5775">
        <w:t>performing Developed Markets (EAFE)</w:t>
      </w:r>
      <w:r w:rsidR="008F058F" w:rsidRPr="006F5775">
        <w:t>, down -10.2%,</w:t>
      </w:r>
      <w:r w:rsidR="00B10B5F" w:rsidRPr="006F5775">
        <w:t xml:space="preserve"> by </w:t>
      </w:r>
      <w:r w:rsidR="008F058F" w:rsidRPr="006F5775">
        <w:t>7.6</w:t>
      </w:r>
      <w:r w:rsidR="00B10B5F" w:rsidRPr="006F5775">
        <w:t xml:space="preserve">%. </w:t>
      </w:r>
    </w:p>
    <w:p w14:paraId="5517927C" w14:textId="77777777" w:rsidR="00B10B5F" w:rsidRPr="006F5775" w:rsidRDefault="00B10B5F" w:rsidP="00B10B5F">
      <w:pPr>
        <w:numPr>
          <w:ilvl w:val="0"/>
          <w:numId w:val="2"/>
        </w:numPr>
        <w:spacing w:after="0" w:line="240" w:lineRule="auto"/>
        <w:contextualSpacing/>
      </w:pPr>
      <w:r w:rsidRPr="006F5775">
        <w:t xml:space="preserve">Chinese equities </w:t>
      </w:r>
      <w:r w:rsidR="00F72810" w:rsidRPr="006F5775">
        <w:t xml:space="preserve">fell steadily through Q3, down -22.7%. </w:t>
      </w:r>
    </w:p>
    <w:p w14:paraId="045B864D" w14:textId="77777777" w:rsidR="00F72810" w:rsidRPr="006F5775" w:rsidRDefault="00F72810" w:rsidP="00B10B5F">
      <w:pPr>
        <w:numPr>
          <w:ilvl w:val="0"/>
          <w:numId w:val="2"/>
        </w:numPr>
        <w:spacing w:after="0" w:line="240" w:lineRule="auto"/>
        <w:contextualSpacing/>
      </w:pPr>
      <w:r w:rsidRPr="006F5775">
        <w:t xml:space="preserve">Surprise devaluation of the Chinese Yuan in August sent global markets reeling. </w:t>
      </w:r>
    </w:p>
    <w:p w14:paraId="463BF6FD" w14:textId="77777777" w:rsidR="00F200C0" w:rsidRPr="00F72810" w:rsidRDefault="00F200C0" w:rsidP="00F200C0">
      <w:pPr>
        <w:numPr>
          <w:ilvl w:val="0"/>
          <w:numId w:val="2"/>
        </w:numPr>
        <w:spacing w:after="0" w:line="240" w:lineRule="auto"/>
        <w:contextualSpacing/>
      </w:pPr>
      <w:r w:rsidRPr="006F5775">
        <w:t>Relatively low oil prices are</w:t>
      </w:r>
      <w:r w:rsidRPr="00F72810">
        <w:t xml:space="preserve"> generally positive for the Emerging Markets.</w:t>
      </w:r>
      <w:r w:rsidRPr="00F72810">
        <w:rPr>
          <w:rFonts w:ascii="Calibri" w:hAnsi="Calibri"/>
          <w:color w:val="000000"/>
          <w:sz w:val="23"/>
          <w:szCs w:val="23"/>
        </w:rPr>
        <w:t xml:space="preserve"> The majority of </w:t>
      </w:r>
      <w:r w:rsidR="00F72810">
        <w:rPr>
          <w:rFonts w:ascii="Calibri" w:hAnsi="Calibri"/>
          <w:color w:val="000000"/>
          <w:sz w:val="23"/>
          <w:szCs w:val="23"/>
        </w:rPr>
        <w:t xml:space="preserve">EM countries are oil importers, for example India. </w:t>
      </w:r>
    </w:p>
    <w:p w14:paraId="057F1889" w14:textId="77777777" w:rsidR="00383B4F" w:rsidRPr="006F5775" w:rsidRDefault="00383B4F" w:rsidP="0020687D">
      <w:pPr>
        <w:pStyle w:val="ListParagraph"/>
        <w:numPr>
          <w:ilvl w:val="0"/>
          <w:numId w:val="2"/>
        </w:numPr>
        <w:spacing w:after="0" w:line="240" w:lineRule="auto"/>
      </w:pPr>
      <w:r w:rsidRPr="00F72810">
        <w:t xml:space="preserve">Two </w:t>
      </w:r>
      <w:r w:rsidRPr="006F5775">
        <w:t>notable exceptions are Russia and Brazil, both of which are large exporters of oil and materials.  Weak oil and commodity prices are a major negative for these two countries.</w:t>
      </w:r>
    </w:p>
    <w:p w14:paraId="77DD0453" w14:textId="77777777" w:rsidR="006F5775" w:rsidRDefault="006F5775" w:rsidP="00B10B5F">
      <w:pPr>
        <w:pStyle w:val="ListParagraph"/>
        <w:numPr>
          <w:ilvl w:val="0"/>
          <w:numId w:val="2"/>
        </w:numPr>
        <w:spacing w:after="0" w:line="240" w:lineRule="auto"/>
      </w:pPr>
      <w:r w:rsidRPr="006F5775">
        <w:t xml:space="preserve">Brazil had a particularly tough quarter, down -33.6%. The corruption scandal in Brazil has snowballed to include high level political leaders, including President Dilma Rousseff.  </w:t>
      </w:r>
    </w:p>
    <w:p w14:paraId="74FBEC12" w14:textId="00424E6A" w:rsidR="006F5775" w:rsidRPr="008349E3" w:rsidRDefault="00EC57B8" w:rsidP="00B10B5F">
      <w:pPr>
        <w:pStyle w:val="ListParagraph"/>
        <w:numPr>
          <w:ilvl w:val="0"/>
          <w:numId w:val="2"/>
        </w:numPr>
        <w:spacing w:after="0" w:line="240" w:lineRule="auto"/>
      </w:pPr>
      <w:r>
        <w:t>In September</w:t>
      </w:r>
      <w:r w:rsidR="006F5775" w:rsidRPr="008349E3">
        <w:t xml:space="preserve">, the S&amp;P downgraded Brazil’s sovereign debt to junk. </w:t>
      </w:r>
    </w:p>
    <w:p w14:paraId="7F9C5B8E" w14:textId="77777777" w:rsidR="00383B4F" w:rsidRPr="008349E3" w:rsidRDefault="00383B4F" w:rsidP="0020687D">
      <w:pPr>
        <w:pStyle w:val="ListParagraph"/>
        <w:spacing w:after="0" w:line="240" w:lineRule="auto"/>
        <w:ind w:left="1440"/>
      </w:pPr>
    </w:p>
    <w:p w14:paraId="2C7161E1" w14:textId="77777777" w:rsidR="00383B4F" w:rsidRPr="008349E3" w:rsidRDefault="00383B4F" w:rsidP="00383B4F">
      <w:pPr>
        <w:numPr>
          <w:ilvl w:val="0"/>
          <w:numId w:val="4"/>
        </w:numPr>
        <w:spacing w:after="0" w:line="240" w:lineRule="auto"/>
        <w:contextualSpacing/>
      </w:pPr>
      <w:r w:rsidRPr="008349E3">
        <w:t>Valuation:</w:t>
      </w:r>
      <w:r w:rsidRPr="008349E3">
        <w:tab/>
      </w:r>
      <w:r w:rsidRPr="008349E3">
        <w:tab/>
      </w:r>
      <w:r w:rsidR="0020687D" w:rsidRPr="008349E3">
        <w:rPr>
          <w:b/>
        </w:rPr>
        <w:t xml:space="preserve">NEUTRAL to </w:t>
      </w:r>
      <w:r w:rsidRPr="008349E3">
        <w:rPr>
          <w:b/>
          <w:color w:val="00B050"/>
        </w:rPr>
        <w:t>POSITIVE</w:t>
      </w:r>
    </w:p>
    <w:p w14:paraId="14C4C1FE" w14:textId="77777777" w:rsidR="0020687D" w:rsidRPr="008F058F" w:rsidRDefault="00F200C0" w:rsidP="0020687D">
      <w:pPr>
        <w:numPr>
          <w:ilvl w:val="0"/>
          <w:numId w:val="2"/>
        </w:numPr>
        <w:spacing w:after="0" w:line="240" w:lineRule="auto"/>
        <w:contextualSpacing/>
      </w:pPr>
      <w:r w:rsidRPr="008349E3">
        <w:t>MSCI EM appears close to fairly valued with</w:t>
      </w:r>
      <w:r w:rsidR="00A37253" w:rsidRPr="008349E3">
        <w:t xml:space="preserve"> P/E (NTM) </w:t>
      </w:r>
      <w:r w:rsidRPr="008349E3">
        <w:t xml:space="preserve">at </w:t>
      </w:r>
      <w:r w:rsidR="00A37253" w:rsidRPr="008349E3">
        <w:t>1</w:t>
      </w:r>
      <w:r w:rsidR="008F058F" w:rsidRPr="008349E3">
        <w:t>0.7</w:t>
      </w:r>
      <w:r w:rsidR="0090766F" w:rsidRPr="008349E3">
        <w:t>x</w:t>
      </w:r>
      <w:r w:rsidRPr="008349E3">
        <w:t xml:space="preserve"> (</w:t>
      </w:r>
      <w:r w:rsidR="008F058F" w:rsidRPr="008349E3">
        <w:t>0.1</w:t>
      </w:r>
      <w:r w:rsidR="00BF6B27" w:rsidRPr="008349E3">
        <w:t xml:space="preserve"> standard deviations above its 5-year average of </w:t>
      </w:r>
      <w:r w:rsidR="001F0CA6" w:rsidRPr="008349E3">
        <w:t>10</w:t>
      </w:r>
      <w:r w:rsidR="008F058F" w:rsidRPr="008349E3">
        <w:t>.6</w:t>
      </w:r>
      <w:r w:rsidRPr="008349E3">
        <w:t>).</w:t>
      </w:r>
      <w:r w:rsidR="00BF6B27" w:rsidRPr="008349E3">
        <w:t xml:space="preserve"> </w:t>
      </w:r>
      <w:r w:rsidRPr="008349E3">
        <w:t>The</w:t>
      </w:r>
      <w:r w:rsidRPr="008F058F">
        <w:t xml:space="preserve"> MSCI EM P/E is well below the S&amp;P 500 P/E at </w:t>
      </w:r>
      <w:r w:rsidR="008F058F" w:rsidRPr="008F058F">
        <w:t>15.1</w:t>
      </w:r>
      <w:r w:rsidRPr="008F058F">
        <w:t xml:space="preserve">x and </w:t>
      </w:r>
      <w:r w:rsidR="006F5775">
        <w:t>the MSCI World Ex-</w:t>
      </w:r>
      <w:r w:rsidR="008F058F" w:rsidRPr="008F058F">
        <w:t>US P/E of 13.8</w:t>
      </w:r>
      <w:r w:rsidRPr="008F058F">
        <w:t>x.</w:t>
      </w:r>
    </w:p>
    <w:p w14:paraId="5B52EB2A" w14:textId="77777777" w:rsidR="001E727A" w:rsidRPr="00F10C6C" w:rsidRDefault="0020687D" w:rsidP="0020687D">
      <w:pPr>
        <w:numPr>
          <w:ilvl w:val="0"/>
          <w:numId w:val="2"/>
        </w:numPr>
        <w:spacing w:after="0" w:line="240" w:lineRule="auto"/>
        <w:contextualSpacing/>
      </w:pPr>
      <w:r w:rsidRPr="008F058F">
        <w:t>Projected ear</w:t>
      </w:r>
      <w:r w:rsidR="008F058F" w:rsidRPr="008F058F">
        <w:t>nings growth (NTM)</w:t>
      </w:r>
      <w:r w:rsidR="00F200C0" w:rsidRPr="008F058F">
        <w:t xml:space="preserve"> </w:t>
      </w:r>
      <w:r w:rsidR="006F5775">
        <w:t xml:space="preserve">at </w:t>
      </w:r>
      <w:r w:rsidR="008F058F" w:rsidRPr="008F058F">
        <w:t>10.1</w:t>
      </w:r>
      <w:r w:rsidRPr="008F058F">
        <w:t xml:space="preserve">% </w:t>
      </w:r>
      <w:r w:rsidR="006F5775">
        <w:t xml:space="preserve">is similar to growth estimates for EM in 2014. This </w:t>
      </w:r>
      <w:r w:rsidR="006F5775" w:rsidRPr="00F10C6C">
        <w:t xml:space="preserve">compares to growth estimates </w:t>
      </w:r>
      <w:r w:rsidR="001F0CA6" w:rsidRPr="00F10C6C">
        <w:t xml:space="preserve">(NTM) </w:t>
      </w:r>
      <w:r w:rsidR="006F5775" w:rsidRPr="00F10C6C">
        <w:t xml:space="preserve">for the S&amp;P 500 of 7.2% and the MSCI World Ex-US of 7.8%. </w:t>
      </w:r>
      <w:bookmarkStart w:id="0" w:name="_GoBack"/>
      <w:bookmarkEnd w:id="0"/>
    </w:p>
    <w:p w14:paraId="17148573" w14:textId="77777777" w:rsidR="00383B4F" w:rsidRPr="00F10C6C" w:rsidRDefault="00383B4F" w:rsidP="00383B4F">
      <w:pPr>
        <w:spacing w:after="0" w:line="240" w:lineRule="auto"/>
        <w:ind w:left="1080"/>
      </w:pPr>
    </w:p>
    <w:p w14:paraId="0950426E" w14:textId="3EC55C97" w:rsidR="00383B4F" w:rsidRPr="00F10C6C" w:rsidRDefault="00383B4F" w:rsidP="00383B4F">
      <w:pPr>
        <w:numPr>
          <w:ilvl w:val="0"/>
          <w:numId w:val="4"/>
        </w:numPr>
        <w:spacing w:after="0" w:line="240" w:lineRule="auto"/>
        <w:contextualSpacing/>
      </w:pPr>
      <w:r w:rsidRPr="00F10C6C">
        <w:t>Sentiment:</w:t>
      </w:r>
      <w:r w:rsidRPr="00F10C6C">
        <w:tab/>
      </w:r>
      <w:r w:rsidRPr="00F10C6C">
        <w:tab/>
      </w:r>
      <w:r w:rsidRPr="00F10C6C">
        <w:rPr>
          <w:b/>
          <w:color w:val="00B050"/>
        </w:rPr>
        <w:t>POSITIVE</w:t>
      </w:r>
    </w:p>
    <w:p w14:paraId="67112B88" w14:textId="57C766B0" w:rsidR="00C70366" w:rsidRPr="00F10C6C" w:rsidRDefault="00C70366" w:rsidP="00C70366">
      <w:pPr>
        <w:pStyle w:val="ListParagraph"/>
        <w:numPr>
          <w:ilvl w:val="0"/>
          <w:numId w:val="2"/>
        </w:numPr>
        <w:spacing w:after="0" w:line="240" w:lineRule="auto"/>
      </w:pPr>
      <w:r w:rsidRPr="00F10C6C">
        <w:t>Volatility rose</w:t>
      </w:r>
      <w:r w:rsidR="008F058F" w:rsidRPr="00F10C6C">
        <w:t xml:space="preserve"> in Q3</w:t>
      </w:r>
      <w:r w:rsidR="0007780D" w:rsidRPr="00F10C6C">
        <w:t>. T</w:t>
      </w:r>
      <w:r w:rsidRPr="00F10C6C">
        <w:t>he VXEEM (CBOE Emerging Market</w:t>
      </w:r>
      <w:r w:rsidR="0007780D" w:rsidRPr="00F10C6C">
        <w:t>s ETF Volat</w:t>
      </w:r>
      <w:r w:rsidR="001F0CA6" w:rsidRPr="00F10C6C">
        <w:t>ility Index) closed 3</w:t>
      </w:r>
      <w:r w:rsidR="008F058F" w:rsidRPr="00F10C6C">
        <w:t>Q15 at 34.0</w:t>
      </w:r>
      <w:r w:rsidRPr="00F10C6C">
        <w:t xml:space="preserve"> vs.</w:t>
      </w:r>
      <w:r w:rsidR="008F058F" w:rsidRPr="00F10C6C">
        <w:t xml:space="preserve"> 21.4</w:t>
      </w:r>
      <w:r w:rsidR="0007780D" w:rsidRPr="00F10C6C">
        <w:t xml:space="preserve"> </w:t>
      </w:r>
      <w:r w:rsidR="008F058F" w:rsidRPr="00F10C6C">
        <w:t>in 2</w:t>
      </w:r>
      <w:r w:rsidR="0007780D" w:rsidRPr="00F10C6C">
        <w:t>Q15 and the 5yr average of 24</w:t>
      </w:r>
      <w:r w:rsidRPr="00F10C6C">
        <w:t>.</w:t>
      </w:r>
      <w:r w:rsidR="008F058F" w:rsidRPr="00F10C6C">
        <w:t>9 (1.0 standard deviations above</w:t>
      </w:r>
      <w:r w:rsidRPr="00F10C6C">
        <w:t xml:space="preserve"> the mean).  </w:t>
      </w:r>
      <w:r w:rsidR="008F058F" w:rsidRPr="00F10C6C">
        <w:t>On Augu</w:t>
      </w:r>
      <w:r w:rsidR="00294470" w:rsidRPr="00F10C6C">
        <w:t>st 24</w:t>
      </w:r>
      <w:r w:rsidR="008349E3" w:rsidRPr="00F10C6C">
        <w:t>,</w:t>
      </w:r>
      <w:r w:rsidR="00294470" w:rsidRPr="00F10C6C">
        <w:t xml:space="preserve"> the VXEEM spiked to 56.1, the highest reading since November 2011.</w:t>
      </w:r>
    </w:p>
    <w:p w14:paraId="18BFFBBE" w14:textId="77777777" w:rsidR="00383B4F" w:rsidRPr="000C5A67" w:rsidRDefault="00383B4F" w:rsidP="00383B4F">
      <w:pPr>
        <w:spacing w:after="0" w:line="240" w:lineRule="auto"/>
        <w:ind w:left="1440"/>
        <w:contextualSpacing/>
      </w:pPr>
    </w:p>
    <w:p w14:paraId="18295AC1" w14:textId="77777777" w:rsidR="00383B4F" w:rsidRPr="00394740" w:rsidRDefault="00383B4F" w:rsidP="00383B4F">
      <w:pPr>
        <w:numPr>
          <w:ilvl w:val="0"/>
          <w:numId w:val="4"/>
        </w:numPr>
        <w:spacing w:after="0" w:line="240" w:lineRule="auto"/>
        <w:contextualSpacing/>
      </w:pPr>
      <w:r w:rsidRPr="00394740">
        <w:t>Momentum:</w:t>
      </w:r>
      <w:r w:rsidRPr="00394740">
        <w:tab/>
      </w:r>
      <w:r w:rsidRPr="00394740">
        <w:tab/>
      </w:r>
      <w:r w:rsidR="00394740" w:rsidRPr="00394740">
        <w:rPr>
          <w:b/>
          <w:color w:val="FF0000"/>
        </w:rPr>
        <w:t>NEGATIVE</w:t>
      </w:r>
      <w:r w:rsidR="0007780D" w:rsidRPr="00394740">
        <w:rPr>
          <w:b/>
        </w:rPr>
        <w:t xml:space="preserve"> </w:t>
      </w:r>
      <w:r w:rsidR="000C5A67" w:rsidRPr="00394740">
        <w:rPr>
          <w:b/>
        </w:rPr>
        <w:t xml:space="preserve"> </w:t>
      </w:r>
    </w:p>
    <w:p w14:paraId="058B5078" w14:textId="77777777" w:rsidR="00383B4F" w:rsidRPr="00394740" w:rsidRDefault="00383B4F" w:rsidP="00383B4F">
      <w:pPr>
        <w:numPr>
          <w:ilvl w:val="0"/>
          <w:numId w:val="2"/>
        </w:numPr>
        <w:spacing w:after="0" w:line="240" w:lineRule="auto"/>
        <w:contextualSpacing/>
      </w:pPr>
      <w:r w:rsidRPr="00394740">
        <w:t>MSCI Emerging Markets:</w:t>
      </w:r>
      <w:r w:rsidR="000C5A67" w:rsidRPr="00394740">
        <w:t xml:space="preserve"> </w:t>
      </w:r>
    </w:p>
    <w:p w14:paraId="4C9AC177" w14:textId="77777777" w:rsidR="00394740" w:rsidRPr="00394740" w:rsidRDefault="00394740" w:rsidP="00394740">
      <w:pPr>
        <w:numPr>
          <w:ilvl w:val="1"/>
          <w:numId w:val="2"/>
        </w:numPr>
        <w:spacing w:after="0" w:line="240" w:lineRule="auto"/>
        <w:contextualSpacing/>
      </w:pPr>
      <w:r w:rsidRPr="00394740">
        <w:t xml:space="preserve">All measures of Momentum are negative; the 50DMA, 200DMA and the 200DMA-50DMA. </w:t>
      </w:r>
    </w:p>
    <w:p w14:paraId="67FCE312" w14:textId="77777777" w:rsidR="00394740" w:rsidRDefault="00394740" w:rsidP="00394740">
      <w:pPr>
        <w:numPr>
          <w:ilvl w:val="1"/>
          <w:numId w:val="2"/>
        </w:numPr>
        <w:spacing w:after="0" w:line="240" w:lineRule="auto"/>
        <w:contextualSpacing/>
      </w:pPr>
      <w:r w:rsidRPr="00394740">
        <w:t xml:space="preserve">The 50DMA crossed the 200DMA in a “death cross” on August 24. </w:t>
      </w:r>
    </w:p>
    <w:p w14:paraId="6BA01881" w14:textId="77777777" w:rsidR="00367EEA" w:rsidRDefault="00367EEA" w:rsidP="00367EEA">
      <w:pPr>
        <w:spacing w:after="0" w:line="240" w:lineRule="auto"/>
        <w:contextualSpacing/>
      </w:pPr>
    </w:p>
    <w:p w14:paraId="77D90D70" w14:textId="77777777" w:rsidR="00367EEA" w:rsidRDefault="00367EEA" w:rsidP="00367EEA">
      <w:pPr>
        <w:spacing w:after="0" w:line="240" w:lineRule="auto"/>
        <w:contextualSpacing/>
      </w:pPr>
    </w:p>
    <w:p w14:paraId="40F88806" w14:textId="29BB2C26" w:rsidR="008349E3" w:rsidRDefault="008349E3" w:rsidP="00367EEA">
      <w:pPr>
        <w:spacing w:after="0" w:line="240" w:lineRule="auto"/>
        <w:contextualSpacing/>
      </w:pPr>
    </w:p>
    <w:p w14:paraId="39B6828D" w14:textId="77777777" w:rsidR="008349E3" w:rsidRDefault="008349E3" w:rsidP="00367EEA">
      <w:pPr>
        <w:spacing w:after="0" w:line="240" w:lineRule="auto"/>
        <w:contextualSpacing/>
      </w:pPr>
    </w:p>
    <w:p w14:paraId="19BFF3ED" w14:textId="77777777" w:rsidR="008349E3" w:rsidRDefault="008349E3" w:rsidP="00367EEA">
      <w:pPr>
        <w:spacing w:after="0" w:line="240" w:lineRule="auto"/>
        <w:contextualSpacing/>
      </w:pPr>
    </w:p>
    <w:p w14:paraId="65395DB6" w14:textId="77777777" w:rsidR="008349E3" w:rsidRDefault="008349E3" w:rsidP="00367EEA">
      <w:pPr>
        <w:spacing w:after="0" w:line="240" w:lineRule="auto"/>
        <w:contextualSpacing/>
      </w:pPr>
    </w:p>
    <w:p w14:paraId="075D369C" w14:textId="77777777" w:rsidR="008349E3" w:rsidRDefault="008349E3" w:rsidP="00367EEA">
      <w:pPr>
        <w:spacing w:after="0" w:line="240" w:lineRule="auto"/>
        <w:contextualSpacing/>
      </w:pPr>
    </w:p>
    <w:p w14:paraId="30503ED0" w14:textId="77777777" w:rsidR="008349E3" w:rsidRDefault="008349E3" w:rsidP="00367EEA">
      <w:pPr>
        <w:spacing w:after="0" w:line="240" w:lineRule="auto"/>
        <w:contextualSpacing/>
      </w:pPr>
    </w:p>
    <w:p w14:paraId="60B4318F" w14:textId="77777777" w:rsidR="008349E3" w:rsidRDefault="008349E3" w:rsidP="00367EEA">
      <w:pPr>
        <w:spacing w:after="0" w:line="240" w:lineRule="auto"/>
        <w:contextualSpacing/>
      </w:pPr>
    </w:p>
    <w:p w14:paraId="5CEAAE04" w14:textId="77777777" w:rsidR="008349E3" w:rsidRDefault="008349E3" w:rsidP="00367EEA">
      <w:pPr>
        <w:spacing w:after="0" w:line="240" w:lineRule="auto"/>
        <w:contextualSpacing/>
      </w:pPr>
    </w:p>
    <w:p w14:paraId="5CE57633" w14:textId="77777777" w:rsidR="00367EEA" w:rsidRPr="00394740" w:rsidRDefault="00367EEA" w:rsidP="00367EEA">
      <w:pPr>
        <w:spacing w:after="0" w:line="240" w:lineRule="auto"/>
        <w:contextualSpacing/>
      </w:pPr>
    </w:p>
    <w:tbl>
      <w:tblPr>
        <w:tblStyle w:val="LightList-Accent1"/>
        <w:tblW w:w="10458" w:type="dxa"/>
        <w:jc w:val="center"/>
        <w:tblInd w:w="0" w:type="dxa"/>
        <w:tblLook w:val="04A0" w:firstRow="1" w:lastRow="0" w:firstColumn="1" w:lastColumn="0" w:noHBand="0" w:noVBand="1"/>
      </w:tblPr>
      <w:tblGrid>
        <w:gridCol w:w="6588"/>
        <w:gridCol w:w="270"/>
        <w:gridCol w:w="270"/>
        <w:gridCol w:w="3330"/>
      </w:tblGrid>
      <w:tr w:rsidR="0009083B" w:rsidRPr="00232B94" w14:paraId="7E80B70B" w14:textId="77777777" w:rsidTr="008F0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14:paraId="69F46DBF" w14:textId="77777777" w:rsidR="0009083B" w:rsidRPr="00541035" w:rsidRDefault="00DF3283" w:rsidP="0075357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Public Markets </w:t>
            </w:r>
            <w:r w:rsidR="0009083B" w:rsidRPr="00541035">
              <w:rPr>
                <w:sz w:val="28"/>
              </w:rPr>
              <w:t>Fixed Income</w:t>
            </w:r>
            <w:r w:rsidR="0009083B" w:rsidRPr="00541035">
              <w:rPr>
                <w:color w:val="FF0000"/>
              </w:rPr>
              <w:t xml:space="preserve">       </w:t>
            </w:r>
            <w:r w:rsidR="0009083B" w:rsidRPr="00753571">
              <w:t>NEUTRAL</w:t>
            </w:r>
          </w:p>
        </w:tc>
        <w:tc>
          <w:tcPr>
            <w:tcW w:w="270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14:paraId="612335D1" w14:textId="77777777" w:rsidR="0009083B" w:rsidRPr="00541035" w:rsidRDefault="0009083B" w:rsidP="008F0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70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p w14:paraId="1ED46F51" w14:textId="77777777" w:rsidR="0009083B" w:rsidRPr="00541035" w:rsidRDefault="0009083B" w:rsidP="008F0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330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14:paraId="56BF287A" w14:textId="77777777" w:rsidR="0009083B" w:rsidRPr="00232B94" w:rsidRDefault="00DF3283" w:rsidP="001721B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highlight w:val="yellow"/>
              </w:rPr>
            </w:pPr>
            <w:r>
              <w:rPr>
                <w:sz w:val="28"/>
              </w:rPr>
              <w:t>$1</w:t>
            </w:r>
            <w:r w:rsidR="001721BA">
              <w:rPr>
                <w:sz w:val="28"/>
              </w:rPr>
              <w:t xml:space="preserve">3.0 </w:t>
            </w:r>
            <w:proofErr w:type="spellStart"/>
            <w:r w:rsidR="001721BA">
              <w:rPr>
                <w:sz w:val="28"/>
              </w:rPr>
              <w:t>bn</w:t>
            </w:r>
            <w:proofErr w:type="spellEnd"/>
            <w:r w:rsidR="001721BA">
              <w:rPr>
                <w:sz w:val="28"/>
              </w:rPr>
              <w:t xml:space="preserve"> / 22.2</w:t>
            </w:r>
            <w:r w:rsidR="0009083B" w:rsidRPr="0016371A">
              <w:rPr>
                <w:sz w:val="28"/>
              </w:rPr>
              <w:t>% of Fund</w:t>
            </w:r>
          </w:p>
        </w:tc>
      </w:tr>
    </w:tbl>
    <w:p w14:paraId="2AFB2253" w14:textId="77777777" w:rsidR="0009083B" w:rsidRPr="00F03C29" w:rsidRDefault="0009083B" w:rsidP="0009083B">
      <w:pPr>
        <w:spacing w:after="0" w:line="240" w:lineRule="auto"/>
        <w:ind w:left="360"/>
      </w:pPr>
      <w:r w:rsidRPr="00F03C29">
        <w:t>Market Data &amp; Indicators</w:t>
      </w:r>
    </w:p>
    <w:p w14:paraId="7F609168" w14:textId="77777777" w:rsidR="0009083B" w:rsidRPr="00753571" w:rsidRDefault="0009083B" w:rsidP="0009083B">
      <w:pPr>
        <w:numPr>
          <w:ilvl w:val="0"/>
          <w:numId w:val="19"/>
        </w:numPr>
        <w:spacing w:after="0" w:line="240" w:lineRule="auto"/>
        <w:contextualSpacing/>
      </w:pPr>
      <w:r w:rsidRPr="00753571">
        <w:t>Rates:</w:t>
      </w:r>
      <w:r w:rsidRPr="00753571">
        <w:tab/>
      </w:r>
      <w:r w:rsidRPr="00753571">
        <w:tab/>
      </w:r>
      <w:r w:rsidRPr="00753571">
        <w:tab/>
      </w:r>
      <w:r w:rsidRPr="00753571">
        <w:rPr>
          <w:b/>
        </w:rPr>
        <w:t>Neutral</w:t>
      </w:r>
    </w:p>
    <w:p w14:paraId="36B73905" w14:textId="77777777" w:rsidR="0009083B" w:rsidRPr="00753571" w:rsidRDefault="00294470" w:rsidP="0009083B">
      <w:pPr>
        <w:numPr>
          <w:ilvl w:val="0"/>
          <w:numId w:val="2"/>
        </w:numPr>
        <w:spacing w:after="0" w:line="240" w:lineRule="auto"/>
        <w:contextualSpacing/>
      </w:pPr>
      <w:r w:rsidRPr="00753571">
        <w:t>Curve steepened in 3</w:t>
      </w:r>
      <w:r w:rsidR="00DF3283" w:rsidRPr="00753571">
        <w:t>Q15</w:t>
      </w:r>
      <w:r w:rsidR="00753571" w:rsidRPr="00753571">
        <w:t>.</w:t>
      </w:r>
    </w:p>
    <w:p w14:paraId="2E134092" w14:textId="77777777" w:rsidR="0009083B" w:rsidRPr="00294470" w:rsidRDefault="0009083B" w:rsidP="0009083B">
      <w:pPr>
        <w:numPr>
          <w:ilvl w:val="1"/>
          <w:numId w:val="2"/>
        </w:numPr>
        <w:spacing w:after="0" w:line="240" w:lineRule="auto"/>
        <w:contextualSpacing/>
      </w:pPr>
      <w:r w:rsidRPr="00753571">
        <w:t>10’s-30s is 5</w:t>
      </w:r>
      <w:r w:rsidR="00294470" w:rsidRPr="00753571">
        <w:t xml:space="preserve"> bps</w:t>
      </w:r>
      <w:r w:rsidR="00294470" w:rsidRPr="00294470">
        <w:t xml:space="preserve"> steeper in 3</w:t>
      </w:r>
      <w:r w:rsidRPr="00294470">
        <w:t xml:space="preserve">Q15 and </w:t>
      </w:r>
      <w:r w:rsidR="00294470" w:rsidRPr="00294470">
        <w:t xml:space="preserve">11 </w:t>
      </w:r>
      <w:r w:rsidRPr="00294470">
        <w:t xml:space="preserve">bps flatter in last twelve months. </w:t>
      </w:r>
    </w:p>
    <w:p w14:paraId="33A0ED04" w14:textId="77777777" w:rsidR="0009083B" w:rsidRPr="00294470" w:rsidRDefault="0009083B" w:rsidP="0009083B">
      <w:pPr>
        <w:numPr>
          <w:ilvl w:val="1"/>
          <w:numId w:val="2"/>
        </w:numPr>
        <w:spacing w:after="0" w:line="240" w:lineRule="auto"/>
        <w:contextualSpacing/>
      </w:pPr>
      <w:r w:rsidRPr="00294470">
        <w:t xml:space="preserve">2’s-10’s is </w:t>
      </w:r>
      <w:r w:rsidR="00294470" w:rsidRPr="00294470">
        <w:t>30 bps flatter in 3</w:t>
      </w:r>
      <w:r w:rsidRPr="00294470">
        <w:t xml:space="preserve">Q15 and </w:t>
      </w:r>
      <w:r w:rsidR="00294470" w:rsidRPr="00294470">
        <w:t>52</w:t>
      </w:r>
      <w:r w:rsidRPr="00294470">
        <w:t xml:space="preserve"> bps flatter in last twelve months.</w:t>
      </w:r>
    </w:p>
    <w:p w14:paraId="3FB19356" w14:textId="77777777" w:rsidR="0009083B" w:rsidRPr="00294470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294470">
        <w:t>Curves are flatter than their 5yr averages</w:t>
      </w:r>
    </w:p>
    <w:p w14:paraId="1A6E1EC4" w14:textId="77777777" w:rsidR="0009083B" w:rsidRPr="00294470" w:rsidRDefault="00294470" w:rsidP="0009083B">
      <w:pPr>
        <w:numPr>
          <w:ilvl w:val="1"/>
          <w:numId w:val="2"/>
        </w:numPr>
        <w:spacing w:after="0" w:line="240" w:lineRule="auto"/>
        <w:contextualSpacing/>
      </w:pPr>
      <w:r w:rsidRPr="00294470">
        <w:t>10’s-30s is 82 bps vs 100</w:t>
      </w:r>
      <w:r w:rsidR="0009083B" w:rsidRPr="00294470">
        <w:t xml:space="preserve"> 5yr avg. </w:t>
      </w:r>
    </w:p>
    <w:p w14:paraId="0D9EF47C" w14:textId="77777777" w:rsidR="0009083B" w:rsidRPr="00294470" w:rsidRDefault="00294470" w:rsidP="0009083B">
      <w:pPr>
        <w:numPr>
          <w:ilvl w:val="1"/>
          <w:numId w:val="2"/>
        </w:numPr>
        <w:spacing w:after="0" w:line="240" w:lineRule="auto"/>
        <w:contextualSpacing/>
      </w:pPr>
      <w:r w:rsidRPr="00294470">
        <w:t>2’s-10’s is 141 bps vs 191</w:t>
      </w:r>
      <w:r w:rsidR="0009083B" w:rsidRPr="00294470">
        <w:t xml:space="preserve"> 5yr avg.</w:t>
      </w:r>
    </w:p>
    <w:p w14:paraId="26160420" w14:textId="77777777" w:rsidR="0009083B" w:rsidRPr="00294470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294470">
        <w:t>Mixed economic data have driven investor speculation that the Federal Reserve may raise interest rates later than expected.</w:t>
      </w:r>
    </w:p>
    <w:p w14:paraId="35A9199D" w14:textId="77777777" w:rsidR="0009083B" w:rsidRPr="00294470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294470">
        <w:t xml:space="preserve">Rates have </w:t>
      </w:r>
      <w:r w:rsidR="00753571">
        <w:t>recently reversed rising trend from</w:t>
      </w:r>
      <w:r w:rsidR="00294470" w:rsidRPr="00294470">
        <w:t xml:space="preserve"> </w:t>
      </w:r>
      <w:r w:rsidR="00753571">
        <w:t>beginning of the year.</w:t>
      </w:r>
    </w:p>
    <w:p w14:paraId="33487BA5" w14:textId="77777777" w:rsidR="0009083B" w:rsidRPr="00294470" w:rsidRDefault="00294470" w:rsidP="0009083B">
      <w:pPr>
        <w:numPr>
          <w:ilvl w:val="0"/>
          <w:numId w:val="2"/>
        </w:numPr>
        <w:spacing w:after="0" w:line="240" w:lineRule="auto"/>
        <w:contextualSpacing/>
      </w:pPr>
      <w:r w:rsidRPr="00294470">
        <w:t>Unemployment has improved to 5.1% in September</w:t>
      </w:r>
      <w:r w:rsidR="0009083B" w:rsidRPr="00294470">
        <w:t xml:space="preserve"> but wage growth and participation rates may continue to provide cover from pending Fed rate hikes.</w:t>
      </w:r>
    </w:p>
    <w:p w14:paraId="7EBC3A16" w14:textId="77777777" w:rsidR="0009083B" w:rsidRPr="00F72810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F55810">
        <w:t xml:space="preserve">Market expectation of inflation as measured by TIPS 5yr5yr forward inflation is </w:t>
      </w:r>
      <w:r w:rsidR="00294470" w:rsidRPr="00F55810">
        <w:t>1.73</w:t>
      </w:r>
      <w:r w:rsidRPr="00F55810">
        <w:t xml:space="preserve">%.  This </w:t>
      </w:r>
      <w:r w:rsidRPr="00F72810">
        <w:t>is:</w:t>
      </w:r>
    </w:p>
    <w:p w14:paraId="160D5355" w14:textId="77777777" w:rsidR="0009083B" w:rsidRPr="00F72810" w:rsidRDefault="00294470" w:rsidP="0009083B">
      <w:pPr>
        <w:numPr>
          <w:ilvl w:val="1"/>
          <w:numId w:val="2"/>
        </w:numPr>
        <w:spacing w:after="0" w:line="240" w:lineRule="auto"/>
        <w:contextualSpacing/>
      </w:pPr>
      <w:r w:rsidRPr="00F72810">
        <w:t>46 bps below</w:t>
      </w:r>
      <w:r w:rsidR="0009083B" w:rsidRPr="00F72810">
        <w:t xml:space="preserve"> year end.</w:t>
      </w:r>
    </w:p>
    <w:p w14:paraId="1842A8BE" w14:textId="77777777" w:rsidR="0009083B" w:rsidRPr="00F72810" w:rsidRDefault="00F55810" w:rsidP="0009083B">
      <w:pPr>
        <w:numPr>
          <w:ilvl w:val="1"/>
          <w:numId w:val="2"/>
        </w:numPr>
        <w:spacing w:after="0" w:line="240" w:lineRule="auto"/>
        <w:contextualSpacing/>
      </w:pPr>
      <w:r w:rsidRPr="00F72810">
        <w:t>B</w:t>
      </w:r>
      <w:r w:rsidR="00294470" w:rsidRPr="00F72810">
        <w:t>elow</w:t>
      </w:r>
      <w:r w:rsidR="0009083B" w:rsidRPr="00F72810">
        <w:t xml:space="preserve"> the Fed’s target of 2</w:t>
      </w:r>
      <w:r w:rsidRPr="00F72810">
        <w:t>.0</w:t>
      </w:r>
      <w:r w:rsidR="0009083B" w:rsidRPr="00F72810">
        <w:t>%.</w:t>
      </w:r>
    </w:p>
    <w:p w14:paraId="505031BA" w14:textId="77777777" w:rsidR="0009083B" w:rsidRPr="00F72810" w:rsidRDefault="00F55810" w:rsidP="0009083B">
      <w:pPr>
        <w:numPr>
          <w:ilvl w:val="1"/>
          <w:numId w:val="2"/>
        </w:numPr>
        <w:spacing w:after="0" w:line="240" w:lineRule="auto"/>
        <w:contextualSpacing/>
      </w:pPr>
      <w:r w:rsidRPr="00F72810">
        <w:t>Below the 5yr average of 2.5</w:t>
      </w:r>
      <w:r w:rsidR="0009083B" w:rsidRPr="00F72810">
        <w:t>%</w:t>
      </w:r>
    </w:p>
    <w:p w14:paraId="2F9088F5" w14:textId="77777777" w:rsidR="0009083B" w:rsidRPr="00F72810" w:rsidRDefault="00DF6723" w:rsidP="00DF6723">
      <w:pPr>
        <w:numPr>
          <w:ilvl w:val="0"/>
          <w:numId w:val="2"/>
        </w:numPr>
        <w:spacing w:after="0" w:line="240" w:lineRule="auto"/>
        <w:contextualSpacing/>
      </w:pPr>
      <w:r w:rsidRPr="00F72810">
        <w:t xml:space="preserve">The Fed elected to maintain its zero interest rate policy at its September meeting.  As of quarter end market expectations of Fed months were at 16% for October, 415 for December and 48% for January. </w:t>
      </w:r>
    </w:p>
    <w:p w14:paraId="56E2F76B" w14:textId="77777777" w:rsidR="0009083B" w:rsidRPr="00753571" w:rsidRDefault="0009083B" w:rsidP="0009083B">
      <w:pPr>
        <w:spacing w:after="0" w:line="240" w:lineRule="auto"/>
        <w:ind w:left="1440"/>
        <w:contextualSpacing/>
      </w:pPr>
    </w:p>
    <w:p w14:paraId="5C3AAA99" w14:textId="77777777" w:rsidR="0009083B" w:rsidRPr="00753571" w:rsidRDefault="0009083B" w:rsidP="0009083B">
      <w:pPr>
        <w:numPr>
          <w:ilvl w:val="0"/>
          <w:numId w:val="2"/>
        </w:numPr>
        <w:spacing w:after="0" w:line="240" w:lineRule="auto"/>
        <w:contextualSpacing/>
      </w:pPr>
      <w:r w:rsidRPr="00753571">
        <w:t xml:space="preserve">Correlation benefit of STRIPS </w:t>
      </w:r>
      <w:r w:rsidR="00753571" w:rsidRPr="00753571">
        <w:t>remains negative</w:t>
      </w:r>
    </w:p>
    <w:p w14:paraId="51AF8A8B" w14:textId="77777777" w:rsidR="0009083B" w:rsidRPr="000D745E" w:rsidRDefault="0009083B" w:rsidP="0009083B">
      <w:pPr>
        <w:spacing w:after="0" w:line="240" w:lineRule="auto"/>
        <w:contextualSpacing/>
        <w:rPr>
          <w:highlight w:val="yellow"/>
        </w:rPr>
      </w:pPr>
    </w:p>
    <w:tbl>
      <w:tblPr>
        <w:tblStyle w:val="LightShading-Accent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5"/>
        <w:gridCol w:w="2233"/>
        <w:gridCol w:w="2233"/>
        <w:gridCol w:w="2233"/>
      </w:tblGrid>
      <w:tr w:rsidR="0009083B" w:rsidRPr="000D745E" w14:paraId="772F6995" w14:textId="77777777" w:rsidTr="00DF3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2E3F7" w14:textId="77777777" w:rsidR="0009083B" w:rsidRPr="00674B25" w:rsidRDefault="0009083B" w:rsidP="008F05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noWrap/>
            <w:hideMark/>
          </w:tcPr>
          <w:p w14:paraId="2AD06308" w14:textId="77777777" w:rsidR="0009083B" w:rsidRPr="00674B25" w:rsidRDefault="00DF3283" w:rsidP="00DF3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Day (avg. = </w:t>
            </w:r>
            <w:r w:rsidR="0009083B">
              <w:rPr>
                <w:rFonts w:ascii="Calibri" w:eastAsia="Times New Roman" w:hAnsi="Calibri" w:cs="Times New Roman"/>
                <w:color w:val="000000"/>
              </w:rPr>
              <w:t>-</w:t>
            </w:r>
            <w:r w:rsidR="0009083B" w:rsidRPr="00674B25">
              <w:rPr>
                <w:rFonts w:ascii="Calibri" w:eastAsia="Times New Roman" w:hAnsi="Calibri" w:cs="Times New Roman"/>
                <w:color w:val="000000"/>
              </w:rPr>
              <w:t>30.</w:t>
            </w:r>
            <w:r w:rsidR="0009083B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9083B" w:rsidRPr="00674B25">
              <w:rPr>
                <w:rFonts w:ascii="Calibri" w:eastAsia="Times New Roman" w:hAnsi="Calibri" w:cs="Times New Roman"/>
                <w:color w:val="000000"/>
              </w:rPr>
              <w:t>%)</w:t>
            </w:r>
          </w:p>
        </w:tc>
        <w:tc>
          <w:tcPr>
            <w:tcW w:w="0" w:type="auto"/>
            <w:noWrap/>
            <w:hideMark/>
          </w:tcPr>
          <w:p w14:paraId="1773FDC1" w14:textId="77777777" w:rsidR="0009083B" w:rsidRPr="00674B25" w:rsidRDefault="0009083B" w:rsidP="008F0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60 Day (avg. =</w:t>
            </w:r>
            <w:r w:rsidR="00DF328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4B25">
              <w:rPr>
                <w:rFonts w:ascii="Calibri" w:eastAsia="Times New Roman" w:hAnsi="Calibri" w:cs="Times New Roman"/>
                <w:color w:val="000000"/>
              </w:rPr>
              <w:t>-30.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674B25">
              <w:rPr>
                <w:rFonts w:ascii="Calibri" w:eastAsia="Times New Roman" w:hAnsi="Calibri" w:cs="Times New Roman"/>
                <w:color w:val="000000"/>
              </w:rPr>
              <w:t>%)</w:t>
            </w:r>
          </w:p>
        </w:tc>
        <w:tc>
          <w:tcPr>
            <w:tcW w:w="0" w:type="auto"/>
            <w:noWrap/>
            <w:hideMark/>
          </w:tcPr>
          <w:p w14:paraId="57DA9267" w14:textId="77777777" w:rsidR="0009083B" w:rsidRPr="00674B25" w:rsidRDefault="0009083B" w:rsidP="00DF3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90 Day (avg. =</w:t>
            </w:r>
            <w:r w:rsidR="00DF328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4B25">
              <w:rPr>
                <w:rFonts w:ascii="Calibri" w:eastAsia="Times New Roman" w:hAnsi="Calibri" w:cs="Times New Roman"/>
                <w:color w:val="000000"/>
              </w:rPr>
              <w:t>-3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674B25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674B25">
              <w:rPr>
                <w:rFonts w:ascii="Calibri" w:eastAsia="Times New Roman" w:hAnsi="Calibri" w:cs="Times New Roman"/>
                <w:color w:val="000000"/>
              </w:rPr>
              <w:t>%)</w:t>
            </w:r>
          </w:p>
        </w:tc>
      </w:tr>
      <w:tr w:rsidR="00705184" w:rsidRPr="000D745E" w14:paraId="037CCD1F" w14:textId="77777777" w:rsidTr="00DF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70F2761B" w14:textId="77777777" w:rsidR="00705184" w:rsidRPr="00674B25" w:rsidRDefault="00705184" w:rsidP="008F05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9/30/15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</w:tcPr>
          <w:p w14:paraId="20A9E91D" w14:textId="77777777" w:rsidR="00705184" w:rsidRPr="00674B25" w:rsidRDefault="00705184" w:rsidP="008F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-45.7%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</w:tcPr>
          <w:p w14:paraId="3160C864" w14:textId="77777777" w:rsidR="00705184" w:rsidRPr="00674B25" w:rsidRDefault="00705184" w:rsidP="008F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-43.1%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</w:tcPr>
          <w:p w14:paraId="68F46969" w14:textId="77777777" w:rsidR="00705184" w:rsidRPr="00674B25" w:rsidRDefault="00705184" w:rsidP="008F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-43.9%</w:t>
            </w:r>
          </w:p>
        </w:tc>
      </w:tr>
      <w:tr w:rsidR="0009083B" w:rsidRPr="000D745E" w14:paraId="35195FA9" w14:textId="77777777" w:rsidTr="00DF3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65D5C7EB" w14:textId="77777777" w:rsidR="0009083B" w:rsidRPr="00674B25" w:rsidRDefault="0009083B" w:rsidP="008F05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6/30/15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</w:tcPr>
          <w:p w14:paraId="55638246" w14:textId="77777777" w:rsidR="0009083B" w:rsidRPr="00674B25" w:rsidRDefault="0009083B" w:rsidP="008F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-59.6%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</w:tcPr>
          <w:p w14:paraId="65899397" w14:textId="77777777" w:rsidR="0009083B" w:rsidRPr="00674B25" w:rsidRDefault="0009083B" w:rsidP="008F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-36.5%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</w:tcPr>
          <w:p w14:paraId="69EFF1BA" w14:textId="77777777" w:rsidR="0009083B" w:rsidRPr="00674B25" w:rsidRDefault="0009083B" w:rsidP="008F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-22.5%</w:t>
            </w:r>
          </w:p>
        </w:tc>
      </w:tr>
      <w:tr w:rsidR="0009083B" w:rsidRPr="000D745E" w14:paraId="6876338D" w14:textId="77777777" w:rsidTr="00DF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hideMark/>
          </w:tcPr>
          <w:p w14:paraId="2977B03C" w14:textId="77777777" w:rsidR="0009083B" w:rsidRPr="00674B25" w:rsidRDefault="0009083B" w:rsidP="008F05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 xml:space="preserve">3/31/15 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FB0BF77" w14:textId="77777777" w:rsidR="0009083B" w:rsidRPr="00674B25" w:rsidRDefault="0009083B" w:rsidP="008F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15.4%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AAE37FB" w14:textId="77777777" w:rsidR="0009083B" w:rsidRPr="00674B25" w:rsidRDefault="0009083B" w:rsidP="008F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-28.0%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8A68CD9" w14:textId="77777777" w:rsidR="0009083B" w:rsidRPr="00674B25" w:rsidRDefault="0009083B" w:rsidP="008F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-38.9%</w:t>
            </w:r>
          </w:p>
        </w:tc>
      </w:tr>
      <w:tr w:rsidR="0009083B" w:rsidRPr="000D745E" w14:paraId="14DBC221" w14:textId="77777777" w:rsidTr="00DF32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hideMark/>
          </w:tcPr>
          <w:p w14:paraId="19A49672" w14:textId="77777777" w:rsidR="0009083B" w:rsidRPr="00674B25" w:rsidRDefault="0009083B" w:rsidP="008F05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12/31/14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A2C4E4E" w14:textId="77777777" w:rsidR="0009083B" w:rsidRPr="00674B25" w:rsidRDefault="0009083B" w:rsidP="008F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-54.3%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0C4FDB2" w14:textId="77777777" w:rsidR="0009083B" w:rsidRPr="00674B25" w:rsidRDefault="0009083B" w:rsidP="008F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-46.0%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0457D10" w14:textId="77777777" w:rsidR="0009083B" w:rsidRPr="00674B25" w:rsidRDefault="0009083B" w:rsidP="008F0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-42.0%</w:t>
            </w:r>
          </w:p>
        </w:tc>
      </w:tr>
      <w:tr w:rsidR="0009083B" w:rsidRPr="000D745E" w14:paraId="2CE497CD" w14:textId="77777777" w:rsidTr="00DF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hideMark/>
          </w:tcPr>
          <w:p w14:paraId="4DB3345E" w14:textId="77777777" w:rsidR="0009083B" w:rsidRPr="00674B25" w:rsidRDefault="0009083B" w:rsidP="008F05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9/30/14</w:t>
            </w:r>
          </w:p>
        </w:tc>
        <w:tc>
          <w:tcPr>
            <w:tcW w:w="0" w:type="auto"/>
            <w:tcBorders>
              <w:top w:val="nil"/>
              <w:bottom w:val="single" w:sz="8" w:space="0" w:color="4F81BD" w:themeColor="accent1"/>
            </w:tcBorders>
            <w:noWrap/>
            <w:hideMark/>
          </w:tcPr>
          <w:p w14:paraId="6EECE5D1" w14:textId="77777777" w:rsidR="0009083B" w:rsidRPr="00674B25" w:rsidRDefault="0009083B" w:rsidP="008F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 xml:space="preserve"> -20.3%</w:t>
            </w:r>
          </w:p>
        </w:tc>
        <w:tc>
          <w:tcPr>
            <w:tcW w:w="0" w:type="auto"/>
            <w:tcBorders>
              <w:top w:val="nil"/>
              <w:bottom w:val="single" w:sz="8" w:space="0" w:color="4F81BD" w:themeColor="accent1"/>
            </w:tcBorders>
            <w:noWrap/>
            <w:hideMark/>
          </w:tcPr>
          <w:p w14:paraId="113983CE" w14:textId="77777777" w:rsidR="0009083B" w:rsidRPr="00674B25" w:rsidRDefault="0009083B" w:rsidP="008F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-23.0%</w:t>
            </w:r>
          </w:p>
        </w:tc>
        <w:tc>
          <w:tcPr>
            <w:tcW w:w="0" w:type="auto"/>
            <w:tcBorders>
              <w:top w:val="nil"/>
              <w:bottom w:val="single" w:sz="8" w:space="0" w:color="4F81BD" w:themeColor="accent1"/>
            </w:tcBorders>
            <w:noWrap/>
            <w:hideMark/>
          </w:tcPr>
          <w:p w14:paraId="6682397F" w14:textId="77777777" w:rsidR="0009083B" w:rsidRPr="00674B25" w:rsidRDefault="0009083B" w:rsidP="008F0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B25">
              <w:rPr>
                <w:rFonts w:ascii="Calibri" w:eastAsia="Times New Roman" w:hAnsi="Calibri" w:cs="Times New Roman"/>
                <w:color w:val="000000"/>
              </w:rPr>
              <w:t>-27.8%</w:t>
            </w:r>
          </w:p>
        </w:tc>
      </w:tr>
    </w:tbl>
    <w:p w14:paraId="58A06512" w14:textId="77777777" w:rsidR="0009083B" w:rsidRPr="006F0BA9" w:rsidRDefault="0009083B" w:rsidP="0009083B">
      <w:pPr>
        <w:spacing w:after="0" w:line="240" w:lineRule="auto"/>
        <w:ind w:left="1440"/>
        <w:contextualSpacing/>
      </w:pPr>
    </w:p>
    <w:p w14:paraId="1C5235F6" w14:textId="77777777" w:rsidR="00753571" w:rsidRPr="00753571" w:rsidRDefault="0009083B" w:rsidP="001608AB">
      <w:pPr>
        <w:numPr>
          <w:ilvl w:val="0"/>
          <w:numId w:val="2"/>
        </w:numPr>
        <w:spacing w:after="0" w:line="240" w:lineRule="auto"/>
        <w:contextualSpacing/>
      </w:pPr>
      <w:r w:rsidRPr="00753571">
        <w:t xml:space="preserve">Rates have </w:t>
      </w:r>
      <w:r w:rsidR="00753571" w:rsidRPr="00753571">
        <w:t>ralli</w:t>
      </w:r>
      <w:r w:rsidRPr="00753571">
        <w:t xml:space="preserve">ed </w:t>
      </w:r>
      <w:r w:rsidR="00753571" w:rsidRPr="00753571">
        <w:t>from mid-year peaks while</w:t>
      </w:r>
      <w:r w:rsidRPr="00753571">
        <w:t xml:space="preserve"> the Fed has remained patient</w:t>
      </w:r>
      <w:r w:rsidR="00753571" w:rsidRPr="00753571">
        <w:t>.</w:t>
      </w:r>
    </w:p>
    <w:p w14:paraId="18ECF0B7" w14:textId="77777777" w:rsidR="0009083B" w:rsidRPr="00753A1F" w:rsidRDefault="00753571" w:rsidP="001608AB">
      <w:pPr>
        <w:numPr>
          <w:ilvl w:val="0"/>
          <w:numId w:val="2"/>
        </w:numPr>
        <w:spacing w:after="0" w:line="240" w:lineRule="auto"/>
        <w:contextualSpacing/>
      </w:pPr>
      <w:r w:rsidRPr="00753571">
        <w:t xml:space="preserve">Concerns around the impact of growth in China have contributed to the recent rally in </w:t>
      </w:r>
      <w:r w:rsidRPr="00753A1F">
        <w:t>r</w:t>
      </w:r>
      <w:r w:rsidR="0009083B" w:rsidRPr="00753A1F">
        <w:t>ates</w:t>
      </w:r>
      <w:r w:rsidRPr="00753A1F">
        <w:t>.</w:t>
      </w:r>
    </w:p>
    <w:p w14:paraId="54DB67DB" w14:textId="77777777" w:rsidR="0009083B" w:rsidRPr="00753A1F" w:rsidRDefault="0009083B" w:rsidP="005E7F4E">
      <w:pPr>
        <w:tabs>
          <w:tab w:val="left" w:pos="1860"/>
        </w:tabs>
        <w:spacing w:after="0" w:line="240" w:lineRule="auto"/>
        <w:ind w:left="1440"/>
        <w:contextualSpacing/>
      </w:pPr>
      <w:r w:rsidRPr="00753A1F">
        <w:tab/>
        <w:t>Spreads:</w:t>
      </w:r>
      <w:r w:rsidRPr="00753A1F">
        <w:tab/>
      </w:r>
      <w:r w:rsidR="00753571" w:rsidRPr="00753A1F">
        <w:rPr>
          <w:b/>
        </w:rPr>
        <w:t xml:space="preserve">Negative to </w:t>
      </w:r>
      <w:r w:rsidRPr="00753A1F">
        <w:rPr>
          <w:b/>
        </w:rPr>
        <w:t>NEUTRAL</w:t>
      </w:r>
    </w:p>
    <w:p w14:paraId="002C326D" w14:textId="77777777" w:rsidR="0009083B" w:rsidRPr="00753A1F" w:rsidRDefault="0009083B" w:rsidP="00BF19EA">
      <w:pPr>
        <w:numPr>
          <w:ilvl w:val="0"/>
          <w:numId w:val="39"/>
        </w:numPr>
        <w:spacing w:after="0" w:line="240" w:lineRule="auto"/>
        <w:ind w:left="1440"/>
        <w:contextualSpacing/>
      </w:pPr>
      <w:r w:rsidRPr="00753A1F">
        <w:t>Credit spreads in Investment Grade, High Yield and Bank Loan</w:t>
      </w:r>
      <w:r w:rsidR="00753571" w:rsidRPr="00753A1F">
        <w:t>s</w:t>
      </w:r>
      <w:r w:rsidRPr="00753A1F">
        <w:t xml:space="preserve"> </w:t>
      </w:r>
      <w:r w:rsidR="00F55810" w:rsidRPr="00753A1F">
        <w:t xml:space="preserve">were all </w:t>
      </w:r>
      <w:r w:rsidRPr="00753A1F">
        <w:t xml:space="preserve">wider during the quarter </w:t>
      </w:r>
      <w:r w:rsidR="00F55810" w:rsidRPr="00753A1F">
        <w:t>and</w:t>
      </w:r>
      <w:r w:rsidRPr="00753A1F">
        <w:t xml:space="preserve"> </w:t>
      </w:r>
      <w:r w:rsidR="00F55810" w:rsidRPr="00753A1F">
        <w:t xml:space="preserve">wider from </w:t>
      </w:r>
      <w:r w:rsidRPr="00753A1F">
        <w:t xml:space="preserve">a year ago. </w:t>
      </w:r>
    </w:p>
    <w:p w14:paraId="3A97285C" w14:textId="77777777" w:rsidR="0009083B" w:rsidRPr="00F55810" w:rsidRDefault="00F55810" w:rsidP="00BF19EA">
      <w:pPr>
        <w:pStyle w:val="ListParagraph"/>
        <w:numPr>
          <w:ilvl w:val="0"/>
          <w:numId w:val="39"/>
        </w:numPr>
        <w:spacing w:after="0" w:line="240" w:lineRule="auto"/>
        <w:ind w:left="1440"/>
      </w:pPr>
      <w:r w:rsidRPr="00753A1F">
        <w:t>Investment</w:t>
      </w:r>
      <w:r w:rsidRPr="00F55810">
        <w:t xml:space="preserve"> grade credit 160 bps over UST (107 bps one year ago and 140</w:t>
      </w:r>
      <w:r w:rsidR="0009083B" w:rsidRPr="00F55810">
        <w:t xml:space="preserve"> 5yr average).</w:t>
      </w:r>
    </w:p>
    <w:p w14:paraId="53F42411" w14:textId="77777777" w:rsidR="0009083B" w:rsidRPr="00F55810" w:rsidRDefault="0009083B" w:rsidP="00BF19EA">
      <w:pPr>
        <w:pStyle w:val="ListParagraph"/>
        <w:numPr>
          <w:ilvl w:val="0"/>
          <w:numId w:val="39"/>
        </w:numPr>
        <w:spacing w:after="0" w:line="240" w:lineRule="auto"/>
        <w:ind w:left="1440"/>
      </w:pPr>
      <w:r w:rsidRPr="00F55810">
        <w:t xml:space="preserve">HY credit </w:t>
      </w:r>
      <w:r w:rsidR="00F55810" w:rsidRPr="00F55810">
        <w:t>662 bps over UST (440 bps one year ago and 525</w:t>
      </w:r>
      <w:r w:rsidRPr="00F55810">
        <w:t xml:space="preserve"> 5yr average).</w:t>
      </w:r>
    </w:p>
    <w:p w14:paraId="581895D0" w14:textId="77777777" w:rsidR="0009083B" w:rsidRPr="00F55810" w:rsidRDefault="0009083B" w:rsidP="00BF19EA">
      <w:pPr>
        <w:numPr>
          <w:ilvl w:val="1"/>
          <w:numId w:val="39"/>
        </w:numPr>
        <w:spacing w:after="0" w:line="240" w:lineRule="auto"/>
        <w:ind w:left="2160"/>
        <w:contextualSpacing/>
      </w:pPr>
      <w:r w:rsidRPr="00F55810">
        <w:t xml:space="preserve">Z Scores for credit spreads </w:t>
      </w:r>
      <w:r w:rsidR="00F55810" w:rsidRPr="00F55810">
        <w:t>were 0.7 (IG) and 1.3</w:t>
      </w:r>
      <w:r w:rsidRPr="00F55810">
        <w:t xml:space="preserve"> (HY).</w:t>
      </w:r>
    </w:p>
    <w:p w14:paraId="42382D25" w14:textId="77777777" w:rsidR="0009083B" w:rsidRPr="00F55810" w:rsidRDefault="0009083B" w:rsidP="00BF19EA">
      <w:pPr>
        <w:pStyle w:val="ListParagraph"/>
        <w:numPr>
          <w:ilvl w:val="1"/>
          <w:numId w:val="39"/>
        </w:numPr>
        <w:spacing w:after="0" w:line="240" w:lineRule="auto"/>
        <w:ind w:left="2160"/>
      </w:pPr>
      <w:r w:rsidRPr="00F55810">
        <w:t xml:space="preserve">Spread between IG and HY is </w:t>
      </w:r>
      <w:r w:rsidR="00F55810" w:rsidRPr="00F55810">
        <w:t>502 vs. 385</w:t>
      </w:r>
      <w:r w:rsidRPr="00F55810">
        <w:t xml:space="preserve"> 5yr a</w:t>
      </w:r>
      <w:r w:rsidR="00F55810" w:rsidRPr="00F55810">
        <w:t>vg. (1.5</w:t>
      </w:r>
      <w:r w:rsidRPr="00F55810">
        <w:t xml:space="preserve"> z-score).</w:t>
      </w:r>
    </w:p>
    <w:p w14:paraId="0028C374" w14:textId="77777777" w:rsidR="0009083B" w:rsidRPr="00753A1F" w:rsidRDefault="0009083B" w:rsidP="00BF19EA">
      <w:pPr>
        <w:pStyle w:val="ListParagraph"/>
        <w:numPr>
          <w:ilvl w:val="0"/>
          <w:numId w:val="39"/>
        </w:numPr>
        <w:spacing w:after="0" w:line="240" w:lineRule="auto"/>
        <w:ind w:left="1440"/>
      </w:pPr>
      <w:r w:rsidRPr="00753A1F">
        <w:t xml:space="preserve">Bank loans spreads are at </w:t>
      </w:r>
      <w:r w:rsidR="00753A1F" w:rsidRPr="00753A1F">
        <w:t>547</w:t>
      </w:r>
      <w:r w:rsidRPr="00753A1F">
        <w:t xml:space="preserve"> (vs. </w:t>
      </w:r>
      <w:r w:rsidR="00753A1F" w:rsidRPr="00753A1F">
        <w:t>493</w:t>
      </w:r>
      <w:r w:rsidRPr="00753A1F">
        <w:t xml:space="preserve"> </w:t>
      </w:r>
      <w:r w:rsidR="00753A1F" w:rsidRPr="00753A1F">
        <w:t>10</w:t>
      </w:r>
      <w:r w:rsidRPr="00753A1F">
        <w:t>yr average).</w:t>
      </w:r>
    </w:p>
    <w:p w14:paraId="36DEF8E8" w14:textId="77777777" w:rsidR="0009083B" w:rsidRPr="00F55810" w:rsidRDefault="0009083B" w:rsidP="00BF19EA">
      <w:pPr>
        <w:numPr>
          <w:ilvl w:val="0"/>
          <w:numId w:val="39"/>
        </w:numPr>
        <w:spacing w:after="0" w:line="240" w:lineRule="auto"/>
        <w:ind w:left="1440"/>
        <w:contextualSpacing/>
      </w:pPr>
      <w:r w:rsidRPr="00F55810">
        <w:t xml:space="preserve">EMD $ spreads </w:t>
      </w:r>
      <w:r w:rsidR="00F55810" w:rsidRPr="00F55810">
        <w:t>463 vs. 381</w:t>
      </w:r>
      <w:r w:rsidRPr="00F55810">
        <w:t xml:space="preserve"> at </w:t>
      </w:r>
      <w:r w:rsidR="00F55810" w:rsidRPr="00F55810">
        <w:t>the end of Q2</w:t>
      </w:r>
      <w:r w:rsidR="00C313AE" w:rsidRPr="00F55810">
        <w:t>.</w:t>
      </w:r>
    </w:p>
    <w:p w14:paraId="22FFA5DD" w14:textId="77777777" w:rsidR="0009083B" w:rsidRPr="00F55810" w:rsidRDefault="00F55810" w:rsidP="00BF19EA">
      <w:pPr>
        <w:numPr>
          <w:ilvl w:val="1"/>
          <w:numId w:val="39"/>
        </w:numPr>
        <w:spacing w:after="0" w:line="240" w:lineRule="auto"/>
        <w:ind w:left="2160"/>
        <w:contextualSpacing/>
      </w:pPr>
      <w:r w:rsidRPr="00F55810">
        <w:t>5yr average is 33</w:t>
      </w:r>
      <w:r w:rsidR="00C313AE" w:rsidRPr="00F55810">
        <w:t>4</w:t>
      </w:r>
    </w:p>
    <w:p w14:paraId="448ADF62" w14:textId="77777777" w:rsidR="0009083B" w:rsidRPr="00F55810" w:rsidRDefault="00F55810" w:rsidP="00BF19EA">
      <w:pPr>
        <w:numPr>
          <w:ilvl w:val="1"/>
          <w:numId w:val="39"/>
        </w:numPr>
        <w:spacing w:after="0" w:line="240" w:lineRule="auto"/>
        <w:ind w:left="2160"/>
        <w:contextualSpacing/>
      </w:pPr>
      <w:r w:rsidRPr="00F55810">
        <w:t>Z Score = 2.5</w:t>
      </w:r>
    </w:p>
    <w:p w14:paraId="1EA8931D" w14:textId="77777777" w:rsidR="0009083B" w:rsidRPr="00F55810" w:rsidRDefault="0009083B" w:rsidP="00BF19EA">
      <w:pPr>
        <w:numPr>
          <w:ilvl w:val="0"/>
          <w:numId w:val="39"/>
        </w:numPr>
        <w:spacing w:after="0" w:line="240" w:lineRule="auto"/>
        <w:ind w:left="1440"/>
        <w:contextualSpacing/>
      </w:pPr>
      <w:r w:rsidRPr="00F55810">
        <w:lastRenderedPageBreak/>
        <w:t>EMD Local s</w:t>
      </w:r>
      <w:r w:rsidR="00C313AE" w:rsidRPr="00F55810">
        <w:t>pread over 5yr TSY</w:t>
      </w:r>
      <w:r w:rsidR="00F55810" w:rsidRPr="00F55810">
        <w:t xml:space="preserve"> is 573 vs 515 at the end of Q2</w:t>
      </w:r>
      <w:r w:rsidR="00C313AE" w:rsidRPr="00F55810">
        <w:t>.</w:t>
      </w:r>
    </w:p>
    <w:p w14:paraId="44207136" w14:textId="77777777" w:rsidR="0009083B" w:rsidRPr="00F55810" w:rsidRDefault="00F55810" w:rsidP="00BF19EA">
      <w:pPr>
        <w:numPr>
          <w:ilvl w:val="1"/>
          <w:numId w:val="39"/>
        </w:numPr>
        <w:spacing w:after="0" w:line="240" w:lineRule="auto"/>
        <w:ind w:left="2160"/>
        <w:contextualSpacing/>
      </w:pPr>
      <w:r w:rsidRPr="00F55810">
        <w:t>5yr average is 513</w:t>
      </w:r>
    </w:p>
    <w:p w14:paraId="2BA40EDE" w14:textId="77777777" w:rsidR="0009083B" w:rsidRPr="00F55810" w:rsidRDefault="00F55810" w:rsidP="00BF19EA">
      <w:pPr>
        <w:numPr>
          <w:ilvl w:val="1"/>
          <w:numId w:val="39"/>
        </w:numPr>
        <w:spacing w:after="0" w:line="240" w:lineRule="auto"/>
        <w:ind w:left="2160"/>
        <w:contextualSpacing/>
      </w:pPr>
      <w:r w:rsidRPr="00F55810">
        <w:t>Z Score is 1.9</w:t>
      </w:r>
    </w:p>
    <w:p w14:paraId="4FDB23DA" w14:textId="77777777" w:rsidR="0009083B" w:rsidRPr="00753571" w:rsidRDefault="0009083B" w:rsidP="00BF19EA">
      <w:pPr>
        <w:numPr>
          <w:ilvl w:val="0"/>
          <w:numId w:val="39"/>
        </w:numPr>
        <w:spacing w:after="0" w:line="240" w:lineRule="auto"/>
        <w:ind w:left="1440"/>
        <w:contextualSpacing/>
      </w:pPr>
      <w:r w:rsidRPr="00753571">
        <w:t xml:space="preserve">Valuations have </w:t>
      </w:r>
      <w:r w:rsidR="00753571" w:rsidRPr="00753571">
        <w:t xml:space="preserve">cheapened across </w:t>
      </w:r>
      <w:r w:rsidRPr="00753571">
        <w:t>all spread assets.</w:t>
      </w:r>
    </w:p>
    <w:p w14:paraId="24FB4DCB" w14:textId="77777777" w:rsidR="0009083B" w:rsidRPr="00753A1F" w:rsidRDefault="0009083B" w:rsidP="00BF19EA">
      <w:pPr>
        <w:spacing w:after="0" w:line="240" w:lineRule="auto"/>
        <w:ind w:left="360"/>
      </w:pPr>
    </w:p>
    <w:p w14:paraId="57E4384A" w14:textId="77777777" w:rsidR="0009083B" w:rsidRPr="00753A1F" w:rsidRDefault="0009083B" w:rsidP="00BF19EA">
      <w:pPr>
        <w:pStyle w:val="ListParagraph"/>
        <w:numPr>
          <w:ilvl w:val="0"/>
          <w:numId w:val="19"/>
        </w:numPr>
        <w:spacing w:after="0" w:line="240" w:lineRule="auto"/>
      </w:pPr>
      <w:r w:rsidRPr="00753A1F">
        <w:t>Sentiment:</w:t>
      </w:r>
      <w:r w:rsidRPr="00753A1F">
        <w:tab/>
      </w:r>
      <w:r w:rsidR="00753571" w:rsidRPr="00753A1F">
        <w:rPr>
          <w:b/>
        </w:rPr>
        <w:t xml:space="preserve">Negative to </w:t>
      </w:r>
      <w:r w:rsidRPr="00753A1F">
        <w:rPr>
          <w:b/>
        </w:rPr>
        <w:t xml:space="preserve">NEUTRAL </w:t>
      </w:r>
    </w:p>
    <w:p w14:paraId="69505D06" w14:textId="77777777" w:rsidR="0009083B" w:rsidRPr="00753A1F" w:rsidRDefault="0009083B" w:rsidP="00BF19EA">
      <w:pPr>
        <w:numPr>
          <w:ilvl w:val="0"/>
          <w:numId w:val="40"/>
        </w:numPr>
        <w:spacing w:after="0" w:line="240" w:lineRule="auto"/>
        <w:ind w:left="1440"/>
        <w:contextualSpacing/>
      </w:pPr>
      <w:r w:rsidRPr="00753A1F">
        <w:t>Momentum:</w:t>
      </w:r>
    </w:p>
    <w:p w14:paraId="4B0DAFD5" w14:textId="77777777" w:rsidR="00E076A0" w:rsidRPr="00753571" w:rsidRDefault="0009083B" w:rsidP="00BF19EA">
      <w:pPr>
        <w:numPr>
          <w:ilvl w:val="1"/>
          <w:numId w:val="40"/>
        </w:numPr>
        <w:spacing w:after="0" w:line="240" w:lineRule="auto"/>
        <w:ind w:left="2160"/>
        <w:contextualSpacing/>
      </w:pPr>
      <w:r w:rsidRPr="00753571">
        <w:t>200 DMA, 50 DMA and 50D MA – 200 DMA are</w:t>
      </w:r>
      <w:r w:rsidR="00710498" w:rsidRPr="00753571">
        <w:t xml:space="preserve"> all</w:t>
      </w:r>
      <w:r w:rsidRPr="00753571">
        <w:t xml:space="preserve"> </w:t>
      </w:r>
      <w:r w:rsidR="00753571" w:rsidRPr="00753571">
        <w:t>nega</w:t>
      </w:r>
      <w:r w:rsidRPr="00753571">
        <w:t>tive indicating momentum factors favor higher spreads.</w:t>
      </w:r>
    </w:p>
    <w:p w14:paraId="671F537F" w14:textId="77777777" w:rsidR="002776D1" w:rsidRPr="00753A1F" w:rsidRDefault="002776D1" w:rsidP="00BF19EA">
      <w:pPr>
        <w:numPr>
          <w:ilvl w:val="0"/>
          <w:numId w:val="40"/>
        </w:numPr>
        <w:spacing w:after="0" w:line="240" w:lineRule="auto"/>
        <w:ind w:left="1440"/>
        <w:contextualSpacing/>
      </w:pPr>
      <w:r w:rsidRPr="00753A1F">
        <w:t>Spread V</w:t>
      </w:r>
      <w:r w:rsidR="0009083B" w:rsidRPr="00753A1F">
        <w:t xml:space="preserve">olatility </w:t>
      </w:r>
      <w:r w:rsidRPr="00753A1F">
        <w:t xml:space="preserve">in HY has </w:t>
      </w:r>
      <w:r w:rsidR="00753A1F" w:rsidRPr="00753A1F">
        <w:t>picked up</w:t>
      </w:r>
    </w:p>
    <w:p w14:paraId="37D3162A" w14:textId="77777777" w:rsidR="0009083B" w:rsidRPr="00753A1F" w:rsidRDefault="002776D1" w:rsidP="00BF19EA">
      <w:pPr>
        <w:numPr>
          <w:ilvl w:val="1"/>
          <w:numId w:val="40"/>
        </w:numPr>
        <w:spacing w:after="0" w:line="240" w:lineRule="auto"/>
        <w:ind w:left="2160"/>
        <w:contextualSpacing/>
      </w:pPr>
      <w:r w:rsidRPr="00753A1F">
        <w:t>Daily spread vol</w:t>
      </w:r>
      <w:r w:rsidR="00D76CE4" w:rsidRPr="00753A1F">
        <w:t>atility</w:t>
      </w:r>
      <w:r w:rsidRPr="00753A1F">
        <w:t xml:space="preserve"> of HY index was </w:t>
      </w:r>
      <w:r w:rsidR="00753A1F" w:rsidRPr="00753A1F">
        <w:t>41</w:t>
      </w:r>
      <w:r w:rsidR="00D76CE4" w:rsidRPr="00753A1F">
        <w:t>bps</w:t>
      </w:r>
      <w:r w:rsidRPr="00753A1F">
        <w:t xml:space="preserve"> in </w:t>
      </w:r>
      <w:r w:rsidR="00753A1F" w:rsidRPr="00753A1F">
        <w:t>3</w:t>
      </w:r>
      <w:r w:rsidRPr="00753A1F">
        <w:t xml:space="preserve">Q15 </w:t>
      </w:r>
      <w:r w:rsidR="00753A1F" w:rsidRPr="00753A1F">
        <w:t>after falling to a low of 12bps in 2</w:t>
      </w:r>
      <w:r w:rsidRPr="00753A1F">
        <w:t>Q15</w:t>
      </w:r>
      <w:r w:rsidR="0009083B" w:rsidRPr="00753A1F">
        <w:t>.</w:t>
      </w:r>
    </w:p>
    <w:p w14:paraId="380619BB" w14:textId="77777777" w:rsidR="0009083B" w:rsidRPr="00753571" w:rsidRDefault="0009083B" w:rsidP="00BF19EA">
      <w:pPr>
        <w:numPr>
          <w:ilvl w:val="0"/>
          <w:numId w:val="40"/>
        </w:numPr>
        <w:spacing w:after="0" w:line="240" w:lineRule="auto"/>
        <w:ind w:left="1440"/>
        <w:contextualSpacing/>
      </w:pPr>
      <w:r w:rsidRPr="00753571">
        <w:t xml:space="preserve">Liquidity conditions, as measured </w:t>
      </w:r>
      <w:r w:rsidR="00D76CE4" w:rsidRPr="00753571">
        <w:t>by the spread between 3M LIBOR and 3M T-Bills</w:t>
      </w:r>
      <w:r w:rsidRPr="00753571">
        <w:t>, have widened slightly but are still at historically low levels.</w:t>
      </w:r>
    </w:p>
    <w:p w14:paraId="5D15F7EB" w14:textId="77777777" w:rsidR="00D76CE4" w:rsidRPr="00F55810" w:rsidRDefault="00F55810" w:rsidP="00BF19EA">
      <w:pPr>
        <w:numPr>
          <w:ilvl w:val="1"/>
          <w:numId w:val="40"/>
        </w:numPr>
        <w:spacing w:after="0" w:line="240" w:lineRule="auto"/>
        <w:ind w:left="2160"/>
        <w:contextualSpacing/>
      </w:pPr>
      <w:r w:rsidRPr="00F55810">
        <w:t>33</w:t>
      </w:r>
      <w:r w:rsidR="00D76CE4" w:rsidRPr="00F55810">
        <w:t xml:space="preserve">bps as of </w:t>
      </w:r>
      <w:r w:rsidRPr="00F55810">
        <w:t>September</w:t>
      </w:r>
      <w:r w:rsidR="00D76CE4" w:rsidRPr="00F55810">
        <w:t xml:space="preserve"> 30</w:t>
      </w:r>
      <w:r w:rsidR="00D76CE4" w:rsidRPr="00F55810">
        <w:rPr>
          <w:vertAlign w:val="superscript"/>
        </w:rPr>
        <w:t>th</w:t>
      </w:r>
      <w:r w:rsidRPr="00F55810">
        <w:t>.  Six</w:t>
      </w:r>
      <w:r w:rsidR="00D76CE4" w:rsidRPr="00F55810">
        <w:t xml:space="preserve"> bps wider than previous quarter end</w:t>
      </w:r>
    </w:p>
    <w:p w14:paraId="2ED4DC2C" w14:textId="77777777" w:rsidR="00E076A0" w:rsidRPr="00F55810" w:rsidRDefault="00E076A0" w:rsidP="00BF19EA">
      <w:pPr>
        <w:numPr>
          <w:ilvl w:val="1"/>
          <w:numId w:val="40"/>
        </w:numPr>
        <w:spacing w:after="0" w:line="240" w:lineRule="auto"/>
        <w:ind w:left="2160"/>
        <w:contextualSpacing/>
      </w:pPr>
      <w:r w:rsidRPr="00F55810">
        <w:t xml:space="preserve">5yr </w:t>
      </w:r>
      <w:proofErr w:type="spellStart"/>
      <w:r w:rsidRPr="00F55810">
        <w:t>avg</w:t>
      </w:r>
      <w:proofErr w:type="spellEnd"/>
      <w:r w:rsidRPr="00F55810">
        <w:t xml:space="preserve"> = 26 bps</w:t>
      </w:r>
    </w:p>
    <w:p w14:paraId="370F49BE" w14:textId="77777777" w:rsidR="00D76CE4" w:rsidRPr="00F55810" w:rsidRDefault="00F55810" w:rsidP="00BF19EA">
      <w:pPr>
        <w:numPr>
          <w:ilvl w:val="1"/>
          <w:numId w:val="40"/>
        </w:numPr>
        <w:spacing w:after="0" w:line="240" w:lineRule="auto"/>
        <w:ind w:left="2160"/>
        <w:contextualSpacing/>
      </w:pPr>
      <w:r w:rsidRPr="00F55810">
        <w:t>Z Score = 0.8</w:t>
      </w:r>
    </w:p>
    <w:p w14:paraId="608CDBFB" w14:textId="77777777" w:rsidR="00E076A0" w:rsidRPr="00753571" w:rsidRDefault="00E076A0" w:rsidP="00BF19EA">
      <w:pPr>
        <w:numPr>
          <w:ilvl w:val="1"/>
          <w:numId w:val="40"/>
        </w:numPr>
        <w:spacing w:after="0" w:line="240" w:lineRule="auto"/>
        <w:ind w:left="2160"/>
        <w:contextualSpacing/>
      </w:pPr>
      <w:r w:rsidRPr="00753571">
        <w:t xml:space="preserve">Continuation of positive liquidity conditions </w:t>
      </w:r>
      <w:r w:rsidR="00753571" w:rsidRPr="00753571">
        <w:t>as provided by the Fed may</w:t>
      </w:r>
      <w:r w:rsidRPr="00753571">
        <w:t xml:space="preserve"> support risk assets.</w:t>
      </w:r>
    </w:p>
    <w:p w14:paraId="16E023D9" w14:textId="77777777" w:rsidR="0009083B" w:rsidRPr="004828BC" w:rsidRDefault="0009083B" w:rsidP="00BF19EA">
      <w:pPr>
        <w:numPr>
          <w:ilvl w:val="0"/>
          <w:numId w:val="40"/>
        </w:numPr>
        <w:spacing w:after="0" w:line="240" w:lineRule="auto"/>
        <w:ind w:left="1440"/>
        <w:contextualSpacing/>
      </w:pPr>
      <w:r w:rsidRPr="004828BC">
        <w:t xml:space="preserve">Volatility has increased.  MOVE Index: </w:t>
      </w:r>
      <w:r w:rsidR="004828BC" w:rsidRPr="004828BC">
        <w:t>81.6</w:t>
      </w:r>
      <w:r w:rsidRPr="004828BC">
        <w:t xml:space="preserve"> vs </w:t>
      </w:r>
      <w:r w:rsidR="004828BC" w:rsidRPr="004828BC">
        <w:t>92.3</w:t>
      </w:r>
      <w:r w:rsidRPr="004828BC">
        <w:t xml:space="preserve"> previous quarter end</w:t>
      </w:r>
    </w:p>
    <w:p w14:paraId="2FCBF262" w14:textId="77777777" w:rsidR="0009083B" w:rsidRPr="004828BC" w:rsidRDefault="004828BC" w:rsidP="00BF19EA">
      <w:pPr>
        <w:numPr>
          <w:ilvl w:val="1"/>
          <w:numId w:val="40"/>
        </w:numPr>
        <w:spacing w:after="0" w:line="240" w:lineRule="auto"/>
        <w:ind w:left="2160"/>
        <w:contextualSpacing/>
      </w:pPr>
      <w:r w:rsidRPr="004828BC">
        <w:t>77.1</w:t>
      </w:r>
      <w:r w:rsidR="0009083B" w:rsidRPr="004828BC">
        <w:t xml:space="preserve"> 5yr avg.</w:t>
      </w:r>
    </w:p>
    <w:p w14:paraId="3E1E5612" w14:textId="77777777" w:rsidR="0009083B" w:rsidRPr="004828BC" w:rsidRDefault="004828BC" w:rsidP="00BF19EA">
      <w:pPr>
        <w:numPr>
          <w:ilvl w:val="1"/>
          <w:numId w:val="40"/>
        </w:numPr>
        <w:spacing w:after="0" w:line="240" w:lineRule="auto"/>
        <w:ind w:left="2160"/>
        <w:contextualSpacing/>
      </w:pPr>
      <w:r w:rsidRPr="004828BC">
        <w:t>Z Score = 0.3</w:t>
      </w:r>
    </w:p>
    <w:p w14:paraId="2CD8BA6B" w14:textId="77777777" w:rsidR="0009083B" w:rsidRPr="00B52760" w:rsidRDefault="0009083B" w:rsidP="0009083B">
      <w:pPr>
        <w:spacing w:after="0" w:line="240" w:lineRule="auto"/>
        <w:contextualSpacing/>
        <w:jc w:val="center"/>
      </w:pPr>
    </w:p>
    <w:sectPr w:rsidR="0009083B" w:rsidRPr="00B52760" w:rsidSect="00EE5B0F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C9815" w14:textId="77777777" w:rsidR="00A10F82" w:rsidRDefault="00A10F82">
      <w:pPr>
        <w:spacing w:after="0" w:line="240" w:lineRule="auto"/>
      </w:pPr>
      <w:r>
        <w:separator/>
      </w:r>
    </w:p>
  </w:endnote>
  <w:endnote w:type="continuationSeparator" w:id="0">
    <w:p w14:paraId="11992256" w14:textId="77777777" w:rsidR="00A10F82" w:rsidRDefault="00A10F82">
      <w:pPr>
        <w:spacing w:after="0" w:line="240" w:lineRule="auto"/>
      </w:pPr>
      <w:r>
        <w:continuationSeparator/>
      </w:r>
    </w:p>
  </w:endnote>
  <w:endnote w:type="continuationNotice" w:id="1">
    <w:p w14:paraId="7E5265E6" w14:textId="77777777" w:rsidR="00A10F82" w:rsidRDefault="00A10F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7776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B9AA5" w14:textId="77777777" w:rsidR="008F058F" w:rsidRDefault="008F0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AD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078A3D4" w14:textId="77777777" w:rsidR="008F058F" w:rsidRDefault="008F05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E1D10" w14:textId="77777777" w:rsidR="008F058F" w:rsidRDefault="008F058F">
    <w:pPr>
      <w:pStyle w:val="Footer"/>
    </w:pPr>
  </w:p>
  <w:p w14:paraId="6F6DB9D0" w14:textId="77777777" w:rsidR="008F058F" w:rsidRPr="001D05BA" w:rsidRDefault="008F058F" w:rsidP="00642DC9">
    <w:pPr>
      <w:pStyle w:val="Footer"/>
      <w:jc w:val="center"/>
      <w:rPr>
        <w:b/>
        <w:sz w:val="24"/>
      </w:rPr>
    </w:pPr>
    <w:r w:rsidRPr="001D05BA">
      <w:rPr>
        <w:b/>
        <w:sz w:val="24"/>
      </w:rPr>
      <w:t xml:space="preserve">Sarah Samuels, CFA – Andre Clapp, CFA, Ph.D. – Chuck </w:t>
    </w:r>
    <w:proofErr w:type="spellStart"/>
    <w:r w:rsidRPr="001D05BA">
      <w:rPr>
        <w:b/>
        <w:sz w:val="24"/>
      </w:rPr>
      <w:t>LaPosta</w:t>
    </w:r>
    <w:proofErr w:type="spellEnd"/>
    <w:r w:rsidRPr="001D05BA">
      <w:rPr>
        <w:b/>
        <w:sz w:val="24"/>
      </w:rPr>
      <w:t xml:space="preserve">, CFA – Andre </w:t>
    </w:r>
    <w:proofErr w:type="spellStart"/>
    <w:r w:rsidRPr="001D05BA">
      <w:rPr>
        <w:b/>
        <w:sz w:val="24"/>
      </w:rPr>
      <w:t>Abouhala</w:t>
    </w:r>
    <w:proofErr w:type="spellEnd"/>
    <w:r w:rsidRPr="001D05BA">
      <w:rPr>
        <w:b/>
        <w:sz w:val="24"/>
      </w:rPr>
      <w:t>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BD5CC" w14:textId="77777777" w:rsidR="00A10F82" w:rsidRDefault="00A10F82">
      <w:pPr>
        <w:spacing w:after="0" w:line="240" w:lineRule="auto"/>
      </w:pPr>
      <w:r>
        <w:separator/>
      </w:r>
    </w:p>
  </w:footnote>
  <w:footnote w:type="continuationSeparator" w:id="0">
    <w:p w14:paraId="61DE57E4" w14:textId="77777777" w:rsidR="00A10F82" w:rsidRDefault="00A10F82">
      <w:pPr>
        <w:spacing w:after="0" w:line="240" w:lineRule="auto"/>
      </w:pPr>
      <w:r>
        <w:continuationSeparator/>
      </w:r>
    </w:p>
  </w:footnote>
  <w:footnote w:type="continuationNotice" w:id="1">
    <w:p w14:paraId="5F9FB243" w14:textId="77777777" w:rsidR="00A10F82" w:rsidRDefault="00A10F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6598"/>
    <w:multiLevelType w:val="hybridMultilevel"/>
    <w:tmpl w:val="BACA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B8B"/>
    <w:multiLevelType w:val="hybridMultilevel"/>
    <w:tmpl w:val="65A4C4C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6C5FB1"/>
    <w:multiLevelType w:val="hybridMultilevel"/>
    <w:tmpl w:val="E760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B34A3"/>
    <w:multiLevelType w:val="hybridMultilevel"/>
    <w:tmpl w:val="BACA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B6258"/>
    <w:multiLevelType w:val="hybridMultilevel"/>
    <w:tmpl w:val="20A0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2720"/>
    <w:multiLevelType w:val="hybridMultilevel"/>
    <w:tmpl w:val="76E487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3B81E8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173204F9"/>
    <w:multiLevelType w:val="hybridMultilevel"/>
    <w:tmpl w:val="D6D66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5028C5"/>
    <w:multiLevelType w:val="hybridMultilevel"/>
    <w:tmpl w:val="78CC84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771154"/>
    <w:multiLevelType w:val="multilevel"/>
    <w:tmpl w:val="6FA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182B58"/>
    <w:multiLevelType w:val="hybridMultilevel"/>
    <w:tmpl w:val="38DA8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5189E"/>
    <w:multiLevelType w:val="hybridMultilevel"/>
    <w:tmpl w:val="2FBA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D4CC7"/>
    <w:multiLevelType w:val="hybridMultilevel"/>
    <w:tmpl w:val="20666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A8362D"/>
    <w:multiLevelType w:val="hybridMultilevel"/>
    <w:tmpl w:val="4E1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F431F"/>
    <w:multiLevelType w:val="hybridMultilevel"/>
    <w:tmpl w:val="9B22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F5F35"/>
    <w:multiLevelType w:val="hybridMultilevel"/>
    <w:tmpl w:val="A234572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72F176F"/>
    <w:multiLevelType w:val="hybridMultilevel"/>
    <w:tmpl w:val="77CC54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A0E3680"/>
    <w:multiLevelType w:val="hybridMultilevel"/>
    <w:tmpl w:val="2E4A1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5E4315"/>
    <w:multiLevelType w:val="hybridMultilevel"/>
    <w:tmpl w:val="783860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40A7C"/>
    <w:multiLevelType w:val="hybridMultilevel"/>
    <w:tmpl w:val="DB7A5D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CD3749D"/>
    <w:multiLevelType w:val="hybridMultilevel"/>
    <w:tmpl w:val="17FC9A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D7429A2"/>
    <w:multiLevelType w:val="hybridMultilevel"/>
    <w:tmpl w:val="BACA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96F0F"/>
    <w:multiLevelType w:val="hybridMultilevel"/>
    <w:tmpl w:val="D9C63F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BFE6842"/>
    <w:multiLevelType w:val="hybridMultilevel"/>
    <w:tmpl w:val="BACA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E1B7B"/>
    <w:multiLevelType w:val="hybridMultilevel"/>
    <w:tmpl w:val="DFF4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F085E"/>
    <w:multiLevelType w:val="hybridMultilevel"/>
    <w:tmpl w:val="7FEE63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6E4006A"/>
    <w:multiLevelType w:val="hybridMultilevel"/>
    <w:tmpl w:val="3330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620DC"/>
    <w:multiLevelType w:val="hybridMultilevel"/>
    <w:tmpl w:val="A0488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99743E"/>
    <w:multiLevelType w:val="hybridMultilevel"/>
    <w:tmpl w:val="D714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D591F"/>
    <w:multiLevelType w:val="multilevel"/>
    <w:tmpl w:val="975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866F09"/>
    <w:multiLevelType w:val="hybridMultilevel"/>
    <w:tmpl w:val="DF6C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E3523"/>
    <w:multiLevelType w:val="hybridMultilevel"/>
    <w:tmpl w:val="59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0"/>
  </w:num>
  <w:num w:numId="4">
    <w:abstractNumId w:val="3"/>
  </w:num>
  <w:num w:numId="5">
    <w:abstractNumId w:val="2"/>
  </w:num>
  <w:num w:numId="6">
    <w:abstractNumId w:val="23"/>
  </w:num>
  <w:num w:numId="7">
    <w:abstractNumId w:val="18"/>
  </w:num>
  <w:num w:numId="8">
    <w:abstractNumId w:val="20"/>
  </w:num>
  <w:num w:numId="9">
    <w:abstractNumId w:val="14"/>
  </w:num>
  <w:num w:numId="10">
    <w:abstractNumId w:val="8"/>
  </w:num>
  <w:num w:numId="11">
    <w:abstractNumId w:val="25"/>
  </w:num>
  <w:num w:numId="12">
    <w:abstractNumId w:val="12"/>
  </w:num>
  <w:num w:numId="13">
    <w:abstractNumId w:val="19"/>
  </w:num>
  <w:num w:numId="14">
    <w:abstractNumId w:val="26"/>
  </w:num>
  <w:num w:numId="15">
    <w:abstractNumId w:val="15"/>
  </w:num>
  <w:num w:numId="16">
    <w:abstractNumId w:val="29"/>
  </w:num>
  <w:num w:numId="17">
    <w:abstractNumId w:val="1"/>
  </w:num>
  <w:num w:numId="18">
    <w:abstractNumId w:val="7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2"/>
  </w:num>
  <w:num w:numId="28">
    <w:abstractNumId w:val="15"/>
  </w:num>
  <w:num w:numId="29">
    <w:abstractNumId w:val="11"/>
  </w:num>
  <w:num w:numId="30">
    <w:abstractNumId w:val="24"/>
  </w:num>
  <w:num w:numId="31">
    <w:abstractNumId w:val="13"/>
  </w:num>
  <w:num w:numId="32">
    <w:abstractNumId w:val="28"/>
  </w:num>
  <w:num w:numId="33">
    <w:abstractNumId w:val="5"/>
  </w:num>
  <w:num w:numId="34">
    <w:abstractNumId w:val="16"/>
  </w:num>
  <w:num w:numId="35">
    <w:abstractNumId w:val="22"/>
  </w:num>
  <w:num w:numId="36">
    <w:abstractNumId w:val="31"/>
  </w:num>
  <w:num w:numId="37">
    <w:abstractNumId w:val="4"/>
  </w:num>
  <w:num w:numId="38">
    <w:abstractNumId w:val="6"/>
  </w:num>
  <w:num w:numId="39">
    <w:abstractNumId w:val="10"/>
  </w:num>
  <w:num w:numId="40">
    <w:abstractNumId w:val="17"/>
  </w:num>
  <w:num w:numId="41">
    <w:abstractNumId w:val="9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D8679B"/>
    <w:rsid w:val="00007239"/>
    <w:rsid w:val="00010A41"/>
    <w:rsid w:val="000136C7"/>
    <w:rsid w:val="00026E59"/>
    <w:rsid w:val="00032358"/>
    <w:rsid w:val="0003250F"/>
    <w:rsid w:val="0003325B"/>
    <w:rsid w:val="00047C82"/>
    <w:rsid w:val="00062BD7"/>
    <w:rsid w:val="00064248"/>
    <w:rsid w:val="000701AD"/>
    <w:rsid w:val="0007569D"/>
    <w:rsid w:val="0007780D"/>
    <w:rsid w:val="000812A1"/>
    <w:rsid w:val="00083E71"/>
    <w:rsid w:val="0009083B"/>
    <w:rsid w:val="000B699C"/>
    <w:rsid w:val="000C5A67"/>
    <w:rsid w:val="000D054E"/>
    <w:rsid w:val="000D18A3"/>
    <w:rsid w:val="000D1DC5"/>
    <w:rsid w:val="000D745E"/>
    <w:rsid w:val="000D7571"/>
    <w:rsid w:val="000E025A"/>
    <w:rsid w:val="000E35A1"/>
    <w:rsid w:val="000E465C"/>
    <w:rsid w:val="000F0754"/>
    <w:rsid w:val="000F35B5"/>
    <w:rsid w:val="000F40B7"/>
    <w:rsid w:val="00100C6D"/>
    <w:rsid w:val="001043C6"/>
    <w:rsid w:val="00123B01"/>
    <w:rsid w:val="00124A0C"/>
    <w:rsid w:val="0013303D"/>
    <w:rsid w:val="0013708F"/>
    <w:rsid w:val="0014402E"/>
    <w:rsid w:val="001521DD"/>
    <w:rsid w:val="0015541E"/>
    <w:rsid w:val="00162152"/>
    <w:rsid w:val="001721BA"/>
    <w:rsid w:val="001A5CA3"/>
    <w:rsid w:val="001B136E"/>
    <w:rsid w:val="001B2506"/>
    <w:rsid w:val="001C0CEF"/>
    <w:rsid w:val="001C2135"/>
    <w:rsid w:val="001C7AE9"/>
    <w:rsid w:val="001D05BA"/>
    <w:rsid w:val="001D0922"/>
    <w:rsid w:val="001D5259"/>
    <w:rsid w:val="001E6DCB"/>
    <w:rsid w:val="001E6E34"/>
    <w:rsid w:val="001E727A"/>
    <w:rsid w:val="001F0CA6"/>
    <w:rsid w:val="001F2189"/>
    <w:rsid w:val="001F5BF8"/>
    <w:rsid w:val="001F6551"/>
    <w:rsid w:val="00204304"/>
    <w:rsid w:val="0020617F"/>
    <w:rsid w:val="0020687D"/>
    <w:rsid w:val="00213B0C"/>
    <w:rsid w:val="0021716B"/>
    <w:rsid w:val="0022308E"/>
    <w:rsid w:val="0022480A"/>
    <w:rsid w:val="0022580A"/>
    <w:rsid w:val="00226D31"/>
    <w:rsid w:val="0022732A"/>
    <w:rsid w:val="00232B94"/>
    <w:rsid w:val="002367FA"/>
    <w:rsid w:val="00245E34"/>
    <w:rsid w:val="00252035"/>
    <w:rsid w:val="00257601"/>
    <w:rsid w:val="002624AF"/>
    <w:rsid w:val="00270F9F"/>
    <w:rsid w:val="00273BBB"/>
    <w:rsid w:val="002776D1"/>
    <w:rsid w:val="00294470"/>
    <w:rsid w:val="002A3C6F"/>
    <w:rsid w:val="002B1304"/>
    <w:rsid w:val="002C0A55"/>
    <w:rsid w:val="002C7BEC"/>
    <w:rsid w:val="002D19CB"/>
    <w:rsid w:val="002D22B1"/>
    <w:rsid w:val="002F4A79"/>
    <w:rsid w:val="002F6832"/>
    <w:rsid w:val="002F6EB5"/>
    <w:rsid w:val="00310918"/>
    <w:rsid w:val="00324673"/>
    <w:rsid w:val="003267DA"/>
    <w:rsid w:val="00331A44"/>
    <w:rsid w:val="003569C5"/>
    <w:rsid w:val="003660F9"/>
    <w:rsid w:val="00367EEA"/>
    <w:rsid w:val="00372C6A"/>
    <w:rsid w:val="00375802"/>
    <w:rsid w:val="00383B4F"/>
    <w:rsid w:val="00383EE8"/>
    <w:rsid w:val="003874E2"/>
    <w:rsid w:val="003919F0"/>
    <w:rsid w:val="00394740"/>
    <w:rsid w:val="003A3BB9"/>
    <w:rsid w:val="003B26BB"/>
    <w:rsid w:val="003B4391"/>
    <w:rsid w:val="003B69B4"/>
    <w:rsid w:val="003C36E8"/>
    <w:rsid w:val="003E228E"/>
    <w:rsid w:val="003E2BAC"/>
    <w:rsid w:val="003F401F"/>
    <w:rsid w:val="003F5831"/>
    <w:rsid w:val="003F6970"/>
    <w:rsid w:val="00407F4F"/>
    <w:rsid w:val="004358A9"/>
    <w:rsid w:val="00440213"/>
    <w:rsid w:val="00444F90"/>
    <w:rsid w:val="00450472"/>
    <w:rsid w:val="0045187D"/>
    <w:rsid w:val="0045211A"/>
    <w:rsid w:val="00456D51"/>
    <w:rsid w:val="00461757"/>
    <w:rsid w:val="00462777"/>
    <w:rsid w:val="004665F4"/>
    <w:rsid w:val="0047031C"/>
    <w:rsid w:val="004828BC"/>
    <w:rsid w:val="004876B6"/>
    <w:rsid w:val="004A10CA"/>
    <w:rsid w:val="004A4BC2"/>
    <w:rsid w:val="004B41EE"/>
    <w:rsid w:val="004C10E7"/>
    <w:rsid w:val="004D1EF6"/>
    <w:rsid w:val="004D70C0"/>
    <w:rsid w:val="004E38C5"/>
    <w:rsid w:val="004F5274"/>
    <w:rsid w:val="00507FDC"/>
    <w:rsid w:val="00537F92"/>
    <w:rsid w:val="00541035"/>
    <w:rsid w:val="00555611"/>
    <w:rsid w:val="005633F9"/>
    <w:rsid w:val="005750D4"/>
    <w:rsid w:val="00583026"/>
    <w:rsid w:val="005911D0"/>
    <w:rsid w:val="00593416"/>
    <w:rsid w:val="0059551D"/>
    <w:rsid w:val="005B001A"/>
    <w:rsid w:val="005B1D19"/>
    <w:rsid w:val="005C3275"/>
    <w:rsid w:val="005C3B7C"/>
    <w:rsid w:val="005E7F4E"/>
    <w:rsid w:val="005F6680"/>
    <w:rsid w:val="005F753D"/>
    <w:rsid w:val="006140E3"/>
    <w:rsid w:val="006179BE"/>
    <w:rsid w:val="00617F9D"/>
    <w:rsid w:val="00635CF8"/>
    <w:rsid w:val="00640555"/>
    <w:rsid w:val="00642CA7"/>
    <w:rsid w:val="00642DC9"/>
    <w:rsid w:val="00650FC2"/>
    <w:rsid w:val="00656CC3"/>
    <w:rsid w:val="00660E6B"/>
    <w:rsid w:val="00670C18"/>
    <w:rsid w:val="00675907"/>
    <w:rsid w:val="00675E33"/>
    <w:rsid w:val="006A5DE6"/>
    <w:rsid w:val="006B721F"/>
    <w:rsid w:val="006C73A0"/>
    <w:rsid w:val="006D066E"/>
    <w:rsid w:val="006D1894"/>
    <w:rsid w:val="006D6354"/>
    <w:rsid w:val="006E45AF"/>
    <w:rsid w:val="006F1524"/>
    <w:rsid w:val="006F5775"/>
    <w:rsid w:val="007014B0"/>
    <w:rsid w:val="00705184"/>
    <w:rsid w:val="00710498"/>
    <w:rsid w:val="007125CD"/>
    <w:rsid w:val="00721769"/>
    <w:rsid w:val="007372F0"/>
    <w:rsid w:val="00753571"/>
    <w:rsid w:val="00753A1F"/>
    <w:rsid w:val="00780EB2"/>
    <w:rsid w:val="007834B7"/>
    <w:rsid w:val="007A63F6"/>
    <w:rsid w:val="007B1870"/>
    <w:rsid w:val="007B2D82"/>
    <w:rsid w:val="007B622A"/>
    <w:rsid w:val="007B7CB0"/>
    <w:rsid w:val="007C01C7"/>
    <w:rsid w:val="007C272A"/>
    <w:rsid w:val="007C5850"/>
    <w:rsid w:val="007C62E4"/>
    <w:rsid w:val="007C7A1E"/>
    <w:rsid w:val="007D6188"/>
    <w:rsid w:val="007F2267"/>
    <w:rsid w:val="00801539"/>
    <w:rsid w:val="008038AE"/>
    <w:rsid w:val="00805942"/>
    <w:rsid w:val="00806D61"/>
    <w:rsid w:val="00810D4F"/>
    <w:rsid w:val="00830C96"/>
    <w:rsid w:val="008349E3"/>
    <w:rsid w:val="00834D4D"/>
    <w:rsid w:val="00836F50"/>
    <w:rsid w:val="0084182E"/>
    <w:rsid w:val="0084736E"/>
    <w:rsid w:val="00860555"/>
    <w:rsid w:val="00864832"/>
    <w:rsid w:val="00873868"/>
    <w:rsid w:val="00891274"/>
    <w:rsid w:val="0089335D"/>
    <w:rsid w:val="008B0E63"/>
    <w:rsid w:val="008B25DF"/>
    <w:rsid w:val="008B74A0"/>
    <w:rsid w:val="008C1291"/>
    <w:rsid w:val="008E50D0"/>
    <w:rsid w:val="008F058F"/>
    <w:rsid w:val="008F2FCF"/>
    <w:rsid w:val="008F47BA"/>
    <w:rsid w:val="008F4C8C"/>
    <w:rsid w:val="0090766F"/>
    <w:rsid w:val="00917D40"/>
    <w:rsid w:val="00925BE2"/>
    <w:rsid w:val="009307E1"/>
    <w:rsid w:val="00940075"/>
    <w:rsid w:val="00942BBC"/>
    <w:rsid w:val="00953B25"/>
    <w:rsid w:val="00961310"/>
    <w:rsid w:val="009626B5"/>
    <w:rsid w:val="00967AD6"/>
    <w:rsid w:val="00971262"/>
    <w:rsid w:val="009747F3"/>
    <w:rsid w:val="0098290E"/>
    <w:rsid w:val="00982AE2"/>
    <w:rsid w:val="00984C03"/>
    <w:rsid w:val="00986A1B"/>
    <w:rsid w:val="00986AE0"/>
    <w:rsid w:val="00994737"/>
    <w:rsid w:val="009A249F"/>
    <w:rsid w:val="009A4133"/>
    <w:rsid w:val="009B0193"/>
    <w:rsid w:val="009C2FC6"/>
    <w:rsid w:val="009D1AF8"/>
    <w:rsid w:val="009F39DA"/>
    <w:rsid w:val="009F4ABA"/>
    <w:rsid w:val="00A027ED"/>
    <w:rsid w:val="00A03EF8"/>
    <w:rsid w:val="00A10F82"/>
    <w:rsid w:val="00A20056"/>
    <w:rsid w:val="00A233B9"/>
    <w:rsid w:val="00A305B0"/>
    <w:rsid w:val="00A315C3"/>
    <w:rsid w:val="00A37253"/>
    <w:rsid w:val="00A45922"/>
    <w:rsid w:val="00A467AE"/>
    <w:rsid w:val="00A540D7"/>
    <w:rsid w:val="00A6152B"/>
    <w:rsid w:val="00A65CC1"/>
    <w:rsid w:val="00A65F69"/>
    <w:rsid w:val="00A67FE6"/>
    <w:rsid w:val="00A701C9"/>
    <w:rsid w:val="00A7339F"/>
    <w:rsid w:val="00A73A96"/>
    <w:rsid w:val="00A74A28"/>
    <w:rsid w:val="00A84B10"/>
    <w:rsid w:val="00A85E63"/>
    <w:rsid w:val="00A91FD0"/>
    <w:rsid w:val="00A93108"/>
    <w:rsid w:val="00AA1B88"/>
    <w:rsid w:val="00AA64BD"/>
    <w:rsid w:val="00AB166E"/>
    <w:rsid w:val="00AB336F"/>
    <w:rsid w:val="00AD30E9"/>
    <w:rsid w:val="00AD3541"/>
    <w:rsid w:val="00AF564D"/>
    <w:rsid w:val="00B03DE6"/>
    <w:rsid w:val="00B06C01"/>
    <w:rsid w:val="00B07D14"/>
    <w:rsid w:val="00B10B5F"/>
    <w:rsid w:val="00B15FFC"/>
    <w:rsid w:val="00B22A7E"/>
    <w:rsid w:val="00B410F1"/>
    <w:rsid w:val="00B46504"/>
    <w:rsid w:val="00B836E9"/>
    <w:rsid w:val="00B848F9"/>
    <w:rsid w:val="00B9000D"/>
    <w:rsid w:val="00BA0DA7"/>
    <w:rsid w:val="00BB3EDC"/>
    <w:rsid w:val="00BB61F4"/>
    <w:rsid w:val="00BB681C"/>
    <w:rsid w:val="00BC4CCD"/>
    <w:rsid w:val="00BC61CA"/>
    <w:rsid w:val="00BD0D13"/>
    <w:rsid w:val="00BD12FD"/>
    <w:rsid w:val="00BE5B9C"/>
    <w:rsid w:val="00BF19EA"/>
    <w:rsid w:val="00BF6B27"/>
    <w:rsid w:val="00BF6C41"/>
    <w:rsid w:val="00C04364"/>
    <w:rsid w:val="00C073CF"/>
    <w:rsid w:val="00C12A9B"/>
    <w:rsid w:val="00C14E3C"/>
    <w:rsid w:val="00C159A3"/>
    <w:rsid w:val="00C20340"/>
    <w:rsid w:val="00C23599"/>
    <w:rsid w:val="00C26524"/>
    <w:rsid w:val="00C3031A"/>
    <w:rsid w:val="00C313AE"/>
    <w:rsid w:val="00C34D94"/>
    <w:rsid w:val="00C502F7"/>
    <w:rsid w:val="00C54175"/>
    <w:rsid w:val="00C56EF4"/>
    <w:rsid w:val="00C62A92"/>
    <w:rsid w:val="00C700F4"/>
    <w:rsid w:val="00C70366"/>
    <w:rsid w:val="00C7706E"/>
    <w:rsid w:val="00C77870"/>
    <w:rsid w:val="00C8201E"/>
    <w:rsid w:val="00C92D4B"/>
    <w:rsid w:val="00C94DD1"/>
    <w:rsid w:val="00C9644C"/>
    <w:rsid w:val="00CA12FF"/>
    <w:rsid w:val="00CB4C55"/>
    <w:rsid w:val="00CB70E9"/>
    <w:rsid w:val="00CC05F5"/>
    <w:rsid w:val="00CC0BB3"/>
    <w:rsid w:val="00CC4A4B"/>
    <w:rsid w:val="00CC6061"/>
    <w:rsid w:val="00CC6253"/>
    <w:rsid w:val="00CD55CD"/>
    <w:rsid w:val="00CE7F71"/>
    <w:rsid w:val="00CF4076"/>
    <w:rsid w:val="00D02999"/>
    <w:rsid w:val="00D0734D"/>
    <w:rsid w:val="00D10CDE"/>
    <w:rsid w:val="00D12170"/>
    <w:rsid w:val="00D12D8F"/>
    <w:rsid w:val="00D26B9F"/>
    <w:rsid w:val="00D31727"/>
    <w:rsid w:val="00D36B0B"/>
    <w:rsid w:val="00D40703"/>
    <w:rsid w:val="00D428C0"/>
    <w:rsid w:val="00D465C8"/>
    <w:rsid w:val="00D54109"/>
    <w:rsid w:val="00D54F3F"/>
    <w:rsid w:val="00D76CE4"/>
    <w:rsid w:val="00D8679B"/>
    <w:rsid w:val="00D97AF4"/>
    <w:rsid w:val="00DB07F8"/>
    <w:rsid w:val="00DB2BEA"/>
    <w:rsid w:val="00DB3DF1"/>
    <w:rsid w:val="00DC1DA7"/>
    <w:rsid w:val="00DC4E0C"/>
    <w:rsid w:val="00DE327C"/>
    <w:rsid w:val="00DF3283"/>
    <w:rsid w:val="00DF3459"/>
    <w:rsid w:val="00DF6723"/>
    <w:rsid w:val="00E04D34"/>
    <w:rsid w:val="00E05DB7"/>
    <w:rsid w:val="00E076A0"/>
    <w:rsid w:val="00E11388"/>
    <w:rsid w:val="00E140C4"/>
    <w:rsid w:val="00E3523A"/>
    <w:rsid w:val="00E410B3"/>
    <w:rsid w:val="00E41381"/>
    <w:rsid w:val="00E426E5"/>
    <w:rsid w:val="00E56E85"/>
    <w:rsid w:val="00E61201"/>
    <w:rsid w:val="00E622D1"/>
    <w:rsid w:val="00E62BA1"/>
    <w:rsid w:val="00E83368"/>
    <w:rsid w:val="00E95A81"/>
    <w:rsid w:val="00EA6C10"/>
    <w:rsid w:val="00EB6784"/>
    <w:rsid w:val="00EC2856"/>
    <w:rsid w:val="00EC57B8"/>
    <w:rsid w:val="00EE4D34"/>
    <w:rsid w:val="00EE5B0F"/>
    <w:rsid w:val="00F03C29"/>
    <w:rsid w:val="00F053B9"/>
    <w:rsid w:val="00F0717A"/>
    <w:rsid w:val="00F10C6C"/>
    <w:rsid w:val="00F200C0"/>
    <w:rsid w:val="00F21D4B"/>
    <w:rsid w:val="00F22FB6"/>
    <w:rsid w:val="00F23BB9"/>
    <w:rsid w:val="00F26C80"/>
    <w:rsid w:val="00F3602D"/>
    <w:rsid w:val="00F45258"/>
    <w:rsid w:val="00F5203B"/>
    <w:rsid w:val="00F53290"/>
    <w:rsid w:val="00F54369"/>
    <w:rsid w:val="00F55810"/>
    <w:rsid w:val="00F57ECD"/>
    <w:rsid w:val="00F65D74"/>
    <w:rsid w:val="00F6773D"/>
    <w:rsid w:val="00F727A5"/>
    <w:rsid w:val="00F72810"/>
    <w:rsid w:val="00F827C5"/>
    <w:rsid w:val="00F85CA9"/>
    <w:rsid w:val="00F90D37"/>
    <w:rsid w:val="00F92C3C"/>
    <w:rsid w:val="00FA00F5"/>
    <w:rsid w:val="00FA3964"/>
    <w:rsid w:val="00FA4532"/>
    <w:rsid w:val="00FB53F7"/>
    <w:rsid w:val="00FD4639"/>
    <w:rsid w:val="00FD7A85"/>
    <w:rsid w:val="00FE5192"/>
    <w:rsid w:val="00FE55CA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9BCFA"/>
  <w15:docId w15:val="{D7382C1A-8045-4DFC-87AA-A53B1E60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D867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D867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D86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9B"/>
  </w:style>
  <w:style w:type="paragraph" w:styleId="ListParagraph">
    <w:name w:val="List Paragraph"/>
    <w:basedOn w:val="Normal"/>
    <w:uiPriority w:val="34"/>
    <w:qFormat/>
    <w:rsid w:val="001C7AE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6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7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7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D12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nil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BD12F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B01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1FD0"/>
  </w:style>
  <w:style w:type="paragraph" w:styleId="Header">
    <w:name w:val="header"/>
    <w:basedOn w:val="Normal"/>
    <w:link w:val="HeaderChar"/>
    <w:uiPriority w:val="99"/>
    <w:unhideWhenUsed/>
    <w:rsid w:val="00642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2014-12-01T00:00:00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FADB67B7B6840BC67C102F03A42A4" ma:contentTypeVersion="0" ma:contentTypeDescription="Create a new document." ma:contentTypeScope="" ma:versionID="36803fa0642b339878b21534168951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c61f4785dec7895cadd9a6aa059cf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20D945-493D-48CC-BFCF-77D0BD2EE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580669-7441-49C3-88D7-F56BBB0F46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35E8AE-484F-4354-96E7-5B46D3BB0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2A6F522-66D2-43A0-A2CE-E3DF91180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CLASS REVIEWS</vt:lpstr>
    </vt:vector>
  </TitlesOfParts>
  <Company>December 2014</Company>
  <LinksUpToDate>false</LinksUpToDate>
  <CharactersWithSpaces>12661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CLASS REVIEWS</dc:title>
  <dc:subject>PRIM Investment Team</dc:subject>
  <dc:creator>Sarah Samuels - Andre Clapp - Chuck LaPosta - Andre Abouhala</dc:creator>
  <cp:lastModifiedBy>Lu, Liying</cp:lastModifiedBy>
  <cp:revision>28</cp:revision>
  <cp:lastPrinted>2015-10-28T14:14:00Z</cp:lastPrinted>
  <dcterms:created xsi:type="dcterms:W3CDTF">2015-10-20T19:21:00Z</dcterms:created>
  <dcterms:modified xsi:type="dcterms:W3CDTF">2015-10-28T20:47:00Z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0x010100B02FADB67B7B6840BC67C102F03A42A4</vt:lpwstr>
  </property>
</Properties>
</file>