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职业匹配智能体 (Career Match Intelligence) Skill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基于学生成绩数据、职业技能图谱与专业知识图谱，进行多维度的能力对标与量化分析，输出职业匹配诊断报告。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When to Use This Skill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当用户需要进行以下操作时调用此 Skill：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能力体检</w:t>
      </w:r>
      <w:r>
        <w:rPr>
          <w:rFonts w:eastAsia="等线" w:ascii="Arial" w:cs="Arial" w:hAnsi="Arial"/>
          <w:sz w:val="22"/>
        </w:rPr>
        <w:t>：希望知道自己当前的学习成绩对应目标职业（如后端工程师）的匹配程度。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差距分析</w:t>
      </w:r>
      <w:r>
        <w:rPr>
          <w:rFonts w:eastAsia="等线" w:ascii="Arial" w:cs="Arial" w:hAnsi="Arial"/>
          <w:sz w:val="22"/>
        </w:rPr>
        <w:t>：需要明确自己在“基础技能”、“知识体系”、“职业素养”三个维度的具体短板。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选课/提升建议</w:t>
      </w:r>
      <w:r>
        <w:rPr>
          <w:rFonts w:eastAsia="等线" w:ascii="Arial" w:cs="Arial" w:hAnsi="Arial"/>
          <w:sz w:val="22"/>
        </w:rPr>
        <w:t>：基于当前短板，寻求具体的课程重修建议或课外实践方向。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Data Requirements (Inputs)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运行此 Skill 需要以下三类数据支持（请确保已读取相关文件）：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学生成绩数据</w:t>
      </w:r>
      <w:r>
        <w:rPr>
          <w:rFonts w:eastAsia="等线" w:ascii="Arial" w:cs="Arial" w:hAnsi="Arial"/>
          <w:sz w:val="22"/>
        </w:rPr>
        <w:t>（例如：《中等生-大四.docx》）：包含课程名称、分数/绩点。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职业能力知识图谱</w:t>
      </w:r>
      <w:r>
        <w:rPr>
          <w:rFonts w:eastAsia="等线" w:ascii="Arial" w:cs="Arial" w:hAnsi="Arial"/>
          <w:sz w:val="22"/>
        </w:rPr>
        <w:t>（例如：《后端工程师（带课程）.docx》）：定义了目标职业所需的技能树，以及每个技能节点对应的支撑课程。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专业知识图谱</w:t>
      </w:r>
      <w:r>
        <w:rPr>
          <w:rFonts w:eastAsia="等线" w:ascii="Arial" w:cs="Arial" w:hAnsi="Arial"/>
          <w:sz w:val="22"/>
        </w:rPr>
        <w:t>（例如：《计算机专业知识图谱.docx》）：定义了专业毕业要求（如问题分析、工程知识）与课程体系的支撑关系。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Workflow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Step 1: Data Parsing &amp; Mapping (数据解析与映射)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解析学生成绩</w:t>
      </w:r>
      <w:r>
        <w:rPr>
          <w:rFonts w:eastAsia="等线" w:ascii="Arial" w:cs="Arial" w:hAnsi="Arial"/>
          <w:sz w:val="22"/>
        </w:rPr>
        <w:t xml:space="preserve">：提取 </w:t>
      </w:r>
      <w:r>
        <w:rPr>
          <w:rFonts w:eastAsia="Consolas" w:ascii="Consolas" w:cs="Consolas" w:hAnsi="Consolas"/>
          <w:sz w:val="22"/>
          <w:shd w:fill="EFF0F1"/>
        </w:rPr>
        <w:t>Course Name</w:t>
      </w:r>
      <w:r>
        <w:rPr>
          <w:rFonts w:eastAsia="等线" w:ascii="Arial" w:cs="Arial" w:hAnsi="Arial"/>
          <w:sz w:val="22"/>
        </w:rPr>
        <w:t xml:space="preserve"> (课程名) 和 </w:t>
      </w:r>
      <w:r>
        <w:rPr>
          <w:rFonts w:eastAsia="Consolas" w:ascii="Consolas" w:cs="Consolas" w:hAnsi="Consolas"/>
          <w:sz w:val="22"/>
          <w:shd w:fill="EFF0F1"/>
        </w:rPr>
        <w:t>Score</w:t>
      </w:r>
      <w:r>
        <w:rPr>
          <w:rFonts w:eastAsia="等线" w:ascii="Arial" w:cs="Arial" w:hAnsi="Arial"/>
          <w:sz w:val="22"/>
        </w:rPr>
        <w:t xml:space="preserve"> (分数)。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规则</w:t>
      </w:r>
      <w:r>
        <w:rPr>
          <w:rFonts w:eastAsia="等线" w:ascii="Arial" w:cs="Arial" w:hAnsi="Arial"/>
          <w:sz w:val="22"/>
        </w:rPr>
        <w:t xml:space="preserve">：若分数为“优/良/中/及格”，按 </w:t>
      </w:r>
      <w:r>
        <w:rPr>
          <w:rFonts w:eastAsia="Consolas" w:ascii="Consolas" w:cs="Consolas" w:hAnsi="Consolas"/>
          <w:sz w:val="22"/>
          <w:shd w:fill="EFF0F1"/>
        </w:rPr>
        <w:t>90/80/70/60</w:t>
      </w:r>
      <w:r>
        <w:rPr>
          <w:rFonts w:eastAsia="等线" w:ascii="Arial" w:cs="Arial" w:hAnsi="Arial"/>
          <w:sz w:val="22"/>
        </w:rPr>
        <w:t xml:space="preserve"> 进行数值化转换。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构建职业技能树</w:t>
      </w:r>
      <w:r>
        <w:rPr>
          <w:rFonts w:eastAsia="等线" w:ascii="Arial" w:cs="Arial" w:hAnsi="Arial"/>
          <w:sz w:val="22"/>
        </w:rPr>
        <w:t xml:space="preserve">：读取职业图谱文件，建立 </w:t>
      </w:r>
      <w:r>
        <w:rPr>
          <w:rFonts w:eastAsia="Consolas" w:ascii="Consolas" w:cs="Consolas" w:hAnsi="Consolas"/>
          <w:sz w:val="22"/>
          <w:shd w:fill="EFF0F1"/>
        </w:rPr>
        <w:t>Target Career</w:t>
      </w:r>
      <w:r>
        <w:rPr>
          <w:rFonts w:eastAsia="等线" w:ascii="Arial" w:cs="Arial" w:hAnsi="Arial"/>
          <w:sz w:val="22"/>
        </w:rPr>
        <w:t xml:space="preserve"> -&gt; </w:t>
      </w:r>
      <w:r>
        <w:rPr>
          <w:rFonts w:eastAsia="Consolas" w:ascii="Consolas" w:cs="Consolas" w:hAnsi="Consolas"/>
          <w:sz w:val="22"/>
          <w:shd w:fill="EFF0F1"/>
        </w:rPr>
        <w:t>Skill Domain</w:t>
      </w:r>
      <w:r>
        <w:rPr>
          <w:rFonts w:eastAsia="等线" w:ascii="Arial" w:cs="Arial" w:hAnsi="Arial"/>
          <w:sz w:val="22"/>
        </w:rPr>
        <w:t xml:space="preserve"> (如基本技能) -&gt; </w:t>
      </w:r>
      <w:r>
        <w:rPr>
          <w:rFonts w:eastAsia="Consolas" w:ascii="Consolas" w:cs="Consolas" w:hAnsi="Consolas"/>
          <w:sz w:val="22"/>
          <w:shd w:fill="EFF0F1"/>
        </w:rPr>
        <w:t>Sub-Skill</w:t>
      </w:r>
      <w:r>
        <w:rPr>
          <w:rFonts w:eastAsia="等线" w:ascii="Arial" w:cs="Arial" w:hAnsi="Arial"/>
          <w:sz w:val="22"/>
        </w:rPr>
        <w:t xml:space="preserve"> (如系统开发) -&gt; </w:t>
      </w:r>
      <w:r>
        <w:rPr>
          <w:rFonts w:eastAsia="Consolas" w:ascii="Consolas" w:cs="Consolas" w:hAnsi="Consolas"/>
          <w:sz w:val="22"/>
          <w:shd w:fill="EFF0F1"/>
        </w:rPr>
        <w:t>Related Courses</w:t>
      </w:r>
      <w:r>
        <w:rPr>
          <w:rFonts w:eastAsia="等线" w:ascii="Arial" w:cs="Arial" w:hAnsi="Arial"/>
          <w:sz w:val="22"/>
        </w:rPr>
        <w:t xml:space="preserve"> (关联课程) 的映射链。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构建能力素养树</w:t>
      </w:r>
      <w:r>
        <w:rPr>
          <w:rFonts w:eastAsia="等线" w:ascii="Arial" w:cs="Arial" w:hAnsi="Arial"/>
          <w:sz w:val="22"/>
        </w:rPr>
        <w:t xml:space="preserve">：读取专业图谱文件，建立 </w:t>
      </w:r>
      <w:r>
        <w:rPr>
          <w:rFonts w:eastAsia="Consolas" w:ascii="Consolas" w:cs="Consolas" w:hAnsi="Consolas"/>
          <w:sz w:val="22"/>
          <w:shd w:fill="EFF0F1"/>
        </w:rPr>
        <w:t>Competency</w:t>
      </w:r>
      <w:r>
        <w:rPr>
          <w:rFonts w:eastAsia="等线" w:ascii="Arial" w:cs="Arial" w:hAnsi="Arial"/>
          <w:sz w:val="22"/>
        </w:rPr>
        <w:t xml:space="preserve"> (如解决复杂工程问题) -&gt; </w:t>
      </w:r>
      <w:r>
        <w:rPr>
          <w:rFonts w:eastAsia="Consolas" w:ascii="Consolas" w:cs="Consolas" w:hAnsi="Consolas"/>
          <w:sz w:val="22"/>
          <w:shd w:fill="EFF0F1"/>
        </w:rPr>
        <w:t>Indicator</w:t>
      </w:r>
      <w:r>
        <w:rPr>
          <w:rFonts w:eastAsia="等线" w:ascii="Arial" w:cs="Arial" w:hAnsi="Arial"/>
          <w:sz w:val="22"/>
        </w:rPr>
        <w:t xml:space="preserve"> -&gt; </w:t>
      </w:r>
      <w:r>
        <w:rPr>
          <w:rFonts w:eastAsia="Consolas" w:ascii="Consolas" w:cs="Consolas" w:hAnsi="Consolas"/>
          <w:sz w:val="22"/>
          <w:shd w:fill="EFF0F1"/>
        </w:rPr>
        <w:t>Supporting Courses</w:t>
      </w:r>
      <w:r>
        <w:rPr>
          <w:rFonts w:eastAsia="等线" w:ascii="Arial" w:cs="Arial" w:hAnsi="Arial"/>
          <w:sz w:val="22"/>
        </w:rPr>
        <w:t xml:space="preserve"> (支撑课程) 的映射链。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Step 2: Scoring Algorithm (量化评分逻辑)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对每个能力维度执行加权评分：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DimensionScore=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∑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CourseScore×Weight</m:t>
                </m:r>
              </m:e>
            </m:d>
          </m:num>
          <m:den>
            <m:r>
              <w:rPr>
                <w:rFonts w:ascii="Cambria Math" w:hAnsi="Cambria Math"/>
              </w:rPr>
              <m:t>TotalWeight</m:t>
            </m:r>
          </m:den>
        </m:f>
      </m:oMath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关联度权重</w:t>
      </w:r>
      <w:r>
        <w:rPr>
          <w:rFonts w:eastAsia="等线" w:ascii="Arial" w:cs="Arial" w:hAnsi="Arial"/>
          <w:sz w:val="22"/>
        </w:rPr>
        <w:t xml:space="preserve">：直接对应职业核心技能的课程（如后端工程师的《Java》、《数据库》）权重设为 </w:t>
      </w:r>
      <w:r>
        <w:rPr>
          <w:rFonts w:eastAsia="等线" w:ascii="Arial" w:cs="Arial" w:hAnsi="Arial"/>
          <w:b w:val="true"/>
          <w:sz w:val="22"/>
        </w:rPr>
        <w:t>1.2</w:t>
      </w:r>
      <w:r>
        <w:rPr>
          <w:rFonts w:eastAsia="等线" w:ascii="Arial" w:cs="Arial" w:hAnsi="Arial"/>
          <w:sz w:val="22"/>
        </w:rPr>
        <w:t xml:space="preserve">；通用基础课权重设为 </w:t>
      </w:r>
      <w:r>
        <w:rPr>
          <w:rFonts w:eastAsia="等线" w:ascii="Arial" w:cs="Arial" w:hAnsi="Arial"/>
          <w:b w:val="true"/>
          <w:sz w:val="22"/>
        </w:rPr>
        <w:t>1.0</w:t>
      </w:r>
      <w:r>
        <w:rPr>
          <w:rFonts w:eastAsia="等线" w:ascii="Arial" w:cs="Arial" w:hAnsi="Arial"/>
          <w:sz w:val="22"/>
        </w:rPr>
        <w:t xml:space="preserve">；相关度低的选修课权重设为 </w:t>
      </w:r>
      <w:r>
        <w:rPr>
          <w:rFonts w:eastAsia="等线" w:ascii="Arial" w:cs="Arial" w:hAnsi="Arial"/>
          <w:b w:val="true"/>
          <w:sz w:val="22"/>
        </w:rPr>
        <w:t>0.8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维度计算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职业硬技能 (Hard Skills)</w:t>
      </w:r>
      <w:r>
        <w:rPr>
          <w:rFonts w:eastAsia="等线" w:ascii="Arial" w:cs="Arial" w:hAnsi="Arial"/>
          <w:sz w:val="22"/>
        </w:rPr>
        <w:t>：聚合计算“基本技能”与“基本知识”板块下的课程平均分。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综合素养 (Soft Skills)</w:t>
      </w:r>
      <w:r>
        <w:rPr>
          <w:rFonts w:eastAsia="等线" w:ascii="Arial" w:cs="Arial" w:hAnsi="Arial"/>
          <w:sz w:val="22"/>
        </w:rPr>
        <w:t>：聚合计算“职业素养”、“沟通协作”、“业务效能”板块下的课程及实践课分数。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总匹配度 (Total Match)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硬技能 * 0.6 + 综合素养 * 0.4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Step 3: Gap Analysis (差距分析)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设定阈值进行诊断：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85分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优势领域 (Strength)</w:t>
      </w:r>
      <w:r>
        <w:rPr>
          <w:rFonts w:eastAsia="等线" w:ascii="Arial" w:cs="Arial" w:hAnsi="Arial"/>
          <w:sz w:val="22"/>
        </w:rPr>
        <w:t>。显示为“S级匹配”。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70 - 84分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达标领域 (Qualified)</w:t>
      </w:r>
      <w:r>
        <w:rPr>
          <w:rFonts w:eastAsia="等线" w:ascii="Arial" w:cs="Arial" w:hAnsi="Arial"/>
          <w:sz w:val="22"/>
        </w:rPr>
        <w:t>。显示为“A级匹配”。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60 - 69分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风险领域 (Weakness)</w:t>
      </w:r>
      <w:r>
        <w:rPr>
          <w:rFonts w:eastAsia="等线" w:ascii="Arial" w:cs="Arial" w:hAnsi="Arial"/>
          <w:sz w:val="22"/>
        </w:rPr>
        <w:t>。显示为“B级风险”，需警示。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&lt; 60分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关键缺失 (Critical Gap)</w:t>
      </w:r>
      <w:r>
        <w:rPr>
          <w:rFonts w:eastAsia="等线" w:ascii="Arial" w:cs="Arial" w:hAnsi="Arial"/>
          <w:sz w:val="22"/>
        </w:rPr>
        <w:t>。显示为“C级缺失”，需重修或专项突击。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Step 4: Report Generation (报告生成)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 Markdown 格式的《职业能力体检报告》，包含以下模块：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核心诊断摘要 (Executive Summary)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目标岗位：[例如：后端工程师]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匹配度总分：[0-100]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核心评价：一句话总结（如：“基础扎实，但在高并发与分布式架构方面存在知识盲区”）。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能力雷达图 (Capability Radar)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Mermaid 代码块生成雷达图，展示以下维度的得分：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编程语言基础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数据库与数据管理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系统架构与设计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工程素养与规范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沟通与项目管理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radar  </w:t>
              <w:br/>
              <w:t xml:space="preserve">    title 能力维度分布  </w:t>
              <w:br/>
              <w:t xml:space="preserve">    axes: 编程语言, 数据库, 系统架构, 工程素养, 沟通协作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data: [80, 75, 60, 85, 70]  &lt;-- 填入实际计算分数 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3514">
    <w:lvl>
      <w:numFmt w:val="bullet"/>
      <w:suff w:val="tab"/>
      <w:lvlText w:val="•"/>
      <w:rPr>
        <w:color w:val="3370ff"/>
      </w:rPr>
    </w:lvl>
  </w:abstractNum>
  <w:abstractNum w:abstractNumId="183515">
    <w:lvl>
      <w:numFmt w:val="bullet"/>
      <w:suff w:val="tab"/>
      <w:lvlText w:val="•"/>
      <w:rPr>
        <w:color w:val="3370ff"/>
      </w:rPr>
    </w:lvl>
  </w:abstractNum>
  <w:abstractNum w:abstractNumId="183516">
    <w:lvl>
      <w:numFmt w:val="bullet"/>
      <w:suff w:val="tab"/>
      <w:lvlText w:val="•"/>
      <w:rPr>
        <w:color w:val="3370ff"/>
      </w:rPr>
    </w:lvl>
  </w:abstractNum>
  <w:abstractNum w:abstractNumId="183517">
    <w:lvl>
      <w:start w:val="1"/>
      <w:numFmt w:val="decimal"/>
      <w:suff w:val="tab"/>
      <w:lvlText w:val="%1."/>
      <w:rPr>
        <w:color w:val="3370ff"/>
      </w:rPr>
    </w:lvl>
  </w:abstractNum>
  <w:abstractNum w:abstractNumId="183518">
    <w:lvl>
      <w:start w:val="2"/>
      <w:numFmt w:val="decimal"/>
      <w:suff w:val="tab"/>
      <w:lvlText w:val="%1."/>
      <w:rPr>
        <w:color w:val="3370ff"/>
      </w:rPr>
    </w:lvl>
  </w:abstractNum>
  <w:abstractNum w:abstractNumId="183519">
    <w:lvl>
      <w:start w:val="3"/>
      <w:numFmt w:val="decimal"/>
      <w:suff w:val="tab"/>
      <w:lvlText w:val="%1."/>
      <w:rPr>
        <w:color w:val="3370ff"/>
      </w:rPr>
    </w:lvl>
  </w:abstractNum>
  <w:abstractNum w:abstractNumId="183520">
    <w:lvl>
      <w:start w:val="1"/>
      <w:numFmt w:val="decimal"/>
      <w:suff w:val="tab"/>
      <w:lvlText w:val="%1."/>
      <w:rPr>
        <w:color w:val="3370ff"/>
      </w:rPr>
    </w:lvl>
  </w:abstractNum>
  <w:abstractNum w:abstractNumId="183521">
    <w:lvl>
      <w:numFmt w:val="bullet"/>
      <w:suff w:val="tab"/>
      <w:lvlText w:val="￮"/>
      <w:rPr>
        <w:color w:val="3370ff"/>
      </w:rPr>
    </w:lvl>
  </w:abstractNum>
  <w:abstractNum w:abstractNumId="183522">
    <w:lvl>
      <w:start w:val="2"/>
      <w:numFmt w:val="decimal"/>
      <w:suff w:val="tab"/>
      <w:lvlText w:val="%1."/>
      <w:rPr>
        <w:color w:val="3370ff"/>
      </w:rPr>
    </w:lvl>
  </w:abstractNum>
  <w:abstractNum w:abstractNumId="183523">
    <w:lvl>
      <w:start w:val="3"/>
      <w:numFmt w:val="decimal"/>
      <w:suff w:val="tab"/>
      <w:lvlText w:val="%1."/>
      <w:rPr>
        <w:color w:val="3370ff"/>
      </w:rPr>
    </w:lvl>
  </w:abstractNum>
  <w:abstractNum w:abstractNumId="183524">
    <w:lvl>
      <w:numFmt w:val="bullet"/>
      <w:suff w:val="tab"/>
      <w:lvlText w:val="•"/>
      <w:rPr>
        <w:color w:val="3370ff"/>
      </w:rPr>
    </w:lvl>
  </w:abstractNum>
  <w:abstractNum w:abstractNumId="183525">
    <w:lvl>
      <w:numFmt w:val="bullet"/>
      <w:suff w:val="tab"/>
      <w:lvlText w:val="•"/>
      <w:rPr>
        <w:color w:val="3370ff"/>
      </w:rPr>
    </w:lvl>
  </w:abstractNum>
  <w:abstractNum w:abstractNumId="183526">
    <w:lvl>
      <w:start w:val="1"/>
      <w:numFmt w:val="lowerLetter"/>
      <w:suff w:val="tab"/>
      <w:lvlText w:val="%1."/>
      <w:rPr>
        <w:color w:val="3370ff"/>
      </w:rPr>
    </w:lvl>
  </w:abstractNum>
  <w:abstractNum w:abstractNumId="183527">
    <w:lvl>
      <w:start w:val="2"/>
      <w:numFmt w:val="lowerLetter"/>
      <w:suff w:val="tab"/>
      <w:lvlText w:val="%1."/>
      <w:rPr>
        <w:color w:val="3370ff"/>
      </w:rPr>
    </w:lvl>
  </w:abstractNum>
  <w:abstractNum w:abstractNumId="183528">
    <w:lvl>
      <w:start w:val="3"/>
      <w:numFmt w:val="lowerLetter"/>
      <w:suff w:val="tab"/>
      <w:lvlText w:val="%1."/>
      <w:rPr>
        <w:color w:val="3370ff"/>
      </w:rPr>
    </w:lvl>
  </w:abstractNum>
  <w:abstractNum w:abstractNumId="183529">
    <w:lvl>
      <w:numFmt w:val="bullet"/>
      <w:suff w:val="tab"/>
      <w:lvlText w:val="•"/>
      <w:rPr>
        <w:color w:val="3370ff"/>
      </w:rPr>
    </w:lvl>
  </w:abstractNum>
  <w:abstractNum w:abstractNumId="183530">
    <w:lvl>
      <w:numFmt w:val="bullet"/>
      <w:suff w:val="tab"/>
      <w:lvlText w:val="•"/>
      <w:rPr>
        <w:color w:val="3370ff"/>
      </w:rPr>
    </w:lvl>
  </w:abstractNum>
  <w:abstractNum w:abstractNumId="183531">
    <w:lvl>
      <w:numFmt w:val="bullet"/>
      <w:suff w:val="tab"/>
      <w:lvlText w:val="•"/>
      <w:rPr>
        <w:color w:val="3370ff"/>
      </w:rPr>
    </w:lvl>
  </w:abstractNum>
  <w:abstractNum w:abstractNumId="183532">
    <w:lvl>
      <w:numFmt w:val="bullet"/>
      <w:suff w:val="tab"/>
      <w:lvlText w:val="•"/>
      <w:rPr>
        <w:color w:val="3370ff"/>
      </w:rPr>
    </w:lvl>
  </w:abstractNum>
  <w:abstractNum w:abstractNumId="183533">
    <w:lvl>
      <w:numFmt w:val="bullet"/>
      <w:suff w:val="tab"/>
      <w:lvlText w:val="•"/>
      <w:rPr>
        <w:color w:val="3370ff"/>
      </w:rPr>
    </w:lvl>
  </w:abstractNum>
  <w:abstractNum w:abstractNumId="183534">
    <w:lvl>
      <w:numFmt w:val="bullet"/>
      <w:suff w:val="tab"/>
      <w:lvlText w:val="•"/>
      <w:rPr>
        <w:color w:val="3370ff"/>
      </w:rPr>
    </w:lvl>
  </w:abstractNum>
  <w:abstractNum w:abstractNumId="183535">
    <w:lvl>
      <w:numFmt w:val="bullet"/>
      <w:suff w:val="tab"/>
      <w:lvlText w:val="•"/>
      <w:rPr>
        <w:color w:val="3370ff"/>
      </w:rPr>
    </w:lvl>
  </w:abstractNum>
  <w:abstractNum w:abstractNumId="183536">
    <w:lvl>
      <w:numFmt w:val="bullet"/>
      <w:suff w:val="tab"/>
      <w:lvlText w:val="•"/>
      <w:rPr>
        <w:color w:val="3370ff"/>
      </w:rPr>
    </w:lvl>
  </w:abstractNum>
  <w:abstractNum w:abstractNumId="183537">
    <w:lvl>
      <w:numFmt w:val="bullet"/>
      <w:suff w:val="tab"/>
      <w:lvlText w:val="•"/>
      <w:rPr>
        <w:color w:val="3370ff"/>
      </w:rPr>
    </w:lvl>
  </w:abstractNum>
  <w:abstractNum w:abstractNumId="183538">
    <w:lvl>
      <w:numFmt w:val="bullet"/>
      <w:suff w:val="tab"/>
      <w:lvlText w:val="•"/>
      <w:rPr>
        <w:color w:val="3370ff"/>
      </w:rPr>
    </w:lvl>
  </w:abstractNum>
  <w:abstractNum w:abstractNumId="183539">
    <w:lvl>
      <w:numFmt w:val="bullet"/>
      <w:suff w:val="tab"/>
      <w:lvlText w:val="•"/>
      <w:rPr>
        <w:color w:val="3370ff"/>
      </w:rPr>
    </w:lvl>
  </w:abstractNum>
  <w:abstractNum w:abstractNumId="183540">
    <w:lvl>
      <w:numFmt w:val="bullet"/>
      <w:suff w:val="tab"/>
      <w:lvlText w:val="•"/>
      <w:rPr>
        <w:color w:val="3370ff"/>
      </w:rPr>
    </w:lvl>
  </w:abstractNum>
  <w:num w:numId="1">
    <w:abstractNumId w:val="183514"/>
  </w:num>
  <w:num w:numId="2">
    <w:abstractNumId w:val="183515"/>
  </w:num>
  <w:num w:numId="3">
    <w:abstractNumId w:val="183516"/>
  </w:num>
  <w:num w:numId="4">
    <w:abstractNumId w:val="183517"/>
  </w:num>
  <w:num w:numId="5">
    <w:abstractNumId w:val="183518"/>
  </w:num>
  <w:num w:numId="6">
    <w:abstractNumId w:val="183519"/>
  </w:num>
  <w:num w:numId="7">
    <w:abstractNumId w:val="183520"/>
  </w:num>
  <w:num w:numId="8">
    <w:abstractNumId w:val="183521"/>
  </w:num>
  <w:num w:numId="9">
    <w:abstractNumId w:val="183522"/>
  </w:num>
  <w:num w:numId="10">
    <w:abstractNumId w:val="183523"/>
  </w:num>
  <w:num w:numId="11">
    <w:abstractNumId w:val="183524"/>
  </w:num>
  <w:num w:numId="12">
    <w:abstractNumId w:val="183525"/>
  </w:num>
  <w:num w:numId="13">
    <w:abstractNumId w:val="183526"/>
  </w:num>
  <w:num w:numId="14">
    <w:abstractNumId w:val="183527"/>
  </w:num>
  <w:num w:numId="15">
    <w:abstractNumId w:val="183528"/>
  </w:num>
  <w:num w:numId="16">
    <w:abstractNumId w:val="183529"/>
  </w:num>
  <w:num w:numId="17">
    <w:abstractNumId w:val="183530"/>
  </w:num>
  <w:num w:numId="18">
    <w:abstractNumId w:val="183531"/>
  </w:num>
  <w:num w:numId="19">
    <w:abstractNumId w:val="183532"/>
  </w:num>
  <w:num w:numId="20">
    <w:abstractNumId w:val="183533"/>
  </w:num>
  <w:num w:numId="21">
    <w:abstractNumId w:val="183534"/>
  </w:num>
  <w:num w:numId="22">
    <w:abstractNumId w:val="183535"/>
  </w:num>
  <w:num w:numId="23">
    <w:abstractNumId w:val="183536"/>
  </w:num>
  <w:num w:numId="24">
    <w:abstractNumId w:val="183537"/>
  </w:num>
  <w:num w:numId="25">
    <w:abstractNumId w:val="183538"/>
  </w:num>
  <w:num w:numId="26">
    <w:abstractNumId w:val="183539"/>
  </w:num>
  <w:num w:numId="27">
    <w:abstractNumId w:val="1835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2026-01-08T07:28:10Z</dcterms:created>
  <dc:creator>Apache POI</dc:creator>
</cp:coreProperties>
</file>