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An Integrated Steady-State Biology Framework for Non-Pharmacological Longevity Intervention: From Classical-Text × Genome Fusion to Closed-Loop Validation</w:t>
      </w:r>
    </w:p>
    <w:p>
      <w:r>
        <w:rPr>
          <w:b/>
        </w:rPr>
      </w:r>
      <w:r>
        <w:t>An Integrated Steady-State Biology Framework for Non-Pharmacological Longevity Intervention: From Classical-Text × Genome Fusion to Closed-Loop Validation</w:t>
      </w:r>
      <w:r>
        <w:rPr>
          <w:b/>
        </w:rPr>
      </w:r>
    </w:p>
    <w:p>
      <w:pPr>
        <w:ind w:left="432"/>
      </w:pPr>
      <w:r>
        <w:rPr>
          <w:i/>
          <w:color w:val="555555"/>
          <w:sz w:val="19"/>
        </w:rPr>
        <w:t>Manuscript type (suggested): Hypothesis / Theoretical Framework / Review Target journal: *Journal of Integrative Medicine* (JIM, Elsevier; SCIE Q1, IF≈5.2) — Subscription route, zero article publishing charge for authors Preprint first (suggested): medRxiv (translational/clinical/health-systems) or bioRxiv (life sciences), free, instant DOI Version: v1.1 (English edition) ｜ 2026-08-18 ｜ Corresponding project deliverables: `HealthLens_theory_architecture_v1.md`, `data/case_evidence_db.json`, `tools/engine_validation.py` (computational validation of the fusion engine)</w:t>
      </w:r>
    </w:p>
    <w:p>
      <w:r>
        <w:t>---</w:t>
      </w:r>
    </w:p>
    <w:p>
      <w:pPr>
        <w:pStyle w:val="Heading1"/>
      </w:pPr>
      <w:r>
        <w:t>Authors and Affiliations (placeholders — replace before submission)</w:t>
      </w:r>
    </w:p>
    <w:p>
      <w:pPr>
        <w:pStyle w:val="ListBullet"/>
      </w:pPr>
      <w:r>
        <w:t>First author / Corresponding author: Li Xing (厉兴)</w:t>
      </w:r>
    </w:p>
    <w:p>
      <w:pPr>
        <w:pStyle w:val="ListBullet"/>
      </w:pPr>
      <w:r>
        <w:t>Affiliation: HealthLens, Independent Research Project, Hangzhou, China</w:t>
      </w:r>
    </w:p>
    <w:p>
      <w:pPr>
        <w:pStyle w:val="ListBullet"/>
      </w:pPr>
      <w:r>
        <w:t>Email: {{CORRESPONDING_EMAIL}} ｜ ORCID: {{ORCID_OPTIONAL}}</w:t>
      </w:r>
    </w:p>
    <w:p>
      <w:pPr>
        <w:pStyle w:val="ListBullet"/>
      </w:pPr>
      <w:r>
        <w:t>Acknowledgements: The case evidence database and eight-axis mapping were contributed by the project's open-source collaboration.</w:t>
      </w:r>
    </w:p>
    <w:p>
      <w:pPr>
        <w:ind w:left="432"/>
      </w:pPr>
      <w:r>
        <w:rPr>
          <w:i/>
          <w:color w:val="555555"/>
          <w:sz w:val="19"/>
        </w:rPr>
        <w:t>**Non-medical disclaimer**: This paper proposes a theoretical framework and a decision-support paradigm for ranking intervention priorities. It is **not** a clinical diagnosis or treatment protocol and does not replace physician judgement; all specific interventions must be undertaken under the guidance of qualified professionals. Human evidence cited herein is used to validate the framework and does not constitute individualized medical advice.</w:t>
      </w:r>
    </w:p>
    <w:p>
      <w:r>
        <w:t>---</w:t>
      </w:r>
    </w:p>
    <w:p>
      <w:pPr>
        <w:pStyle w:val="Heading1"/>
      </w:pPr>
      <w:r>
        <w:t>Abstract</w:t>
      </w:r>
    </w:p>
    <w:p>
      <w:r>
        <w:rPr>
          <w:b/>
        </w:rPr>
      </w:r>
      <w:r>
        <w:t>Background</w:t>
      </w:r>
      <w:r>
        <w:rPr>
          <w:b/>
        </w:rPr>
      </w:r>
      <w:r>
        <w:t>: Traditional medicine (exemplified by Chinese medicine) has accumulated millennia of experiential knowledge on "homeostatic regulation," whereas modern aging biology has identified measurable homeostatic pathways (autophagy, mitochondrial biogenesis, senescent-cell clearance, circadian rhythm). The two knowledge systems have long run in parallel, lacking a computable, verifiable unifying framework.</w:t>
      </w:r>
    </w:p>
    <w:p>
      <w:r>
        <w:rPr>
          <w:b/>
        </w:rPr>
      </w:r>
      <w:r>
        <w:t>Objective</w:t>
      </w:r>
      <w:r>
        <w:rPr>
          <w:b/>
        </w:rPr>
      </w:r>
      <w:r>
        <w:t xml:space="preserve">: We propose the </w:t>
      </w:r>
      <w:r>
        <w:rPr>
          <w:i/>
        </w:rPr>
      </w:r>
      <w:r>
        <w:t>Integrated Steady-State Biology Framework</w:t>
      </w:r>
      <w:r>
        <w:rPr>
          <w:i/>
        </w:rPr>
      </w:r>
      <w:r>
        <w:t xml:space="preserve"> (ISSBF), which axiomatically maps classical constructs (qi, blood, zang-fu, yin-yang, zheng-xie, shen) onto eight measurable steady-state biology axes, and establishes a fusion rule of "classical candidate ∩ individual genetic weakness pathway" together with a Sense–Infer–Intervene–Verify (SIIV) closed loop.</w:t>
      </w:r>
    </w:p>
    <w:p>
      <w:r>
        <w:rPr>
          <w:b/>
        </w:rPr>
      </w:r>
      <w:r>
        <w:t>Methods</w:t>
      </w:r>
      <w:r>
        <w:rPr>
          <w:b/>
        </w:rPr>
      </w:r>
      <w:r>
        <w:t>: (1) Six paradigm axioms constrain the framework (homeostasis-first, measure-to-intervene, personalized weighting, closed-loop verification, hormesis boundary, fallibility of experience); (2) an eight-axis mapping is constructed (A gasification/autophagy, B qi-blood/mitochondria, C luo-network/stasis-clearance, D yin-yang/circadian, E zang-fu/neuroendocrine, F zheng-xie/inflammation, G shen/affect, H congenital/epi-clock); (3) a real-world case evidence base (n=24; L1 human RCT=7 / L2=8 / L3 traditional experience=9) anchors the framework empirically; (4) wearable/CGM/BCI data interfaces drive the loop; (5) an in-silico computational validation (22 synthetic profiles) quantifies reproducibility, specificity, and coverage of the fusion engine.</w:t>
      </w:r>
    </w:p>
    <w:p>
      <w:r>
        <w:rPr>
          <w:b/>
        </w:rPr>
      </w:r>
      <w:r>
        <w:t>Results</w:t>
      </w:r>
      <w:r>
        <w:rPr>
          <w:b/>
        </w:rPr>
      </w:r>
      <w:r>
        <w:t>: The framework anchors each axis to modern mechanisms and human evidence (e.g., 4-week fasting raised LAMP2 ×4.2 and LC3B ×1.9; dasatinib+quercetin improved 400 m gait speed in frail elderly, p=0.0001; early time-restricted eating lowered hepatic fat 23.7%; evening blue light suppressed melatonin &gt;55%). Classical nature–flavor attributions (e.g., ginger warming, lily neutral) project cleanly onto axes without contaminating the scientific base. Computational validation showed: 100% reproducibility across 22 synthetic profiles, 100% coverage of weakness profiles (90% containing an L1-grade recommendation), 0 personalized recommendations for control profiles, and 85% convergence validity with traditional-medicine domain expectations — demonstrating that the fusion rule is a computable, auditable method rather than a black box.</w:t>
      </w:r>
    </w:p>
    <w:p>
      <w:r>
        <w:rPr>
          <w:b/>
        </w:rPr>
      </w:r>
      <w:r>
        <w:t>Conclusion</w:t>
      </w:r>
      <w:r>
        <w:rPr>
          <w:b/>
        </w:rPr>
      </w:r>
      <w:r>
        <w:t>: ISSBF provides a computable, verifiable, non-medical theoretical skeleton for "integrating classical and modern, East and West." It can serve as a decision-support foundation for personalized non-pharmacological intervention, and offers novelty for dialogue with Network Medicine, Hormesis, Chronobiology, and systems-biology approaches to Chinese medicine. The framework as a whole still requires prospective RCT validation.</w:t>
      </w:r>
    </w:p>
    <w:p>
      <w:r>
        <w:rPr>
          <w:b/>
        </w:rPr>
      </w:r>
      <w:r>
        <w:t>Keywords</w:t>
      </w:r>
      <w:r>
        <w:rPr>
          <w:b/>
        </w:rPr>
      </w:r>
      <w:r>
        <w:t>: integrative medicine; homeostasis; autophagy; mitochondria; circadian rhythm; network medicine; systems biology; personalized non-pharmacological intervention; closed-loop validation</w:t>
      </w:r>
    </w:p>
    <w:p>
      <w:r>
        <w:t>---</w:t>
      </w:r>
    </w:p>
    <w:p>
      <w:pPr>
        <w:pStyle w:val="Heading1"/>
      </w:pPr>
      <w:r>
        <w:t>1. Introduction</w:t>
      </w:r>
    </w:p>
    <w:p>
      <w:r>
        <w:t>Global aging has made "healthspan extension" a central medical goal. Modern aging biology has established several quantifiable, intervenable homeostatic pathways: autophagy (AMPK/mTOR), mitochondrial biogenesis (PGC-1α/SIRT1), senescent-cell clearance (senolytics), the stem-cell niche, and circadian rhythm (CLOCK/BMAL1) [ref]. In parallel, traditional medicine (especially Chinese medicine) records extensive non-pharmacological homeostatic-regulation experience — daoyin (guided exercise), fasting, food-as-medicine, emotional regulation, and rhythmic living — through constructs such as qi, blood, zang-fu, yin-yang, zheng-xie, and shen [ref: Wang Yongyan; Zhang Boli].</w:t>
      </w:r>
    </w:p>
    <w:p>
      <w:r>
        <w:t xml:space="preserve">The two systems exhibit </w:t>
      </w:r>
      <w:r>
        <w:rPr>
          <w:b/>
        </w:rPr>
      </w:r>
      <w:r>
        <w:t>structural complementarity</w:t>
      </w:r>
      <w:r>
        <w:rPr>
          <w:b/>
        </w:rPr>
      </w:r>
      <w:r>
        <w:t xml:space="preserve">: traditional medicine supplies the experiential priors of "when / for which constitution to regulate what," while modern biology supplies the mechanistic evidence that "regulation indeed changed which measurable pathway." Yet they have long lacked a </w:t>
      </w:r>
      <w:r>
        <w:rPr>
          <w:b/>
        </w:rPr>
      </w:r>
      <w:r>
        <w:t>unified computable language</w:t>
      </w:r>
      <w:r>
        <w:rPr>
          <w:b/>
        </w:rPr>
      </w:r>
      <w:r>
        <w:t xml:space="preserve"> — classical constructs are mostly not directly measurable, and modern pathways are mostly divorced from individual-constitution context.</w:t>
      </w:r>
    </w:p>
    <w:p>
      <w:r>
        <w:t xml:space="preserve">This paper proposes the </w:t>
      </w:r>
      <w:r>
        <w:rPr>
          <w:b/>
        </w:rPr>
      </w:r>
      <w:r>
        <w:t>Integrated Steady-State Biology Framework (ISSBF)</w:t>
      </w:r>
      <w:r>
        <w:rPr>
          <w:b/>
        </w:rPr>
      </w:r>
      <w:r>
        <w:t xml:space="preserve"> to: (1) axiomatically map core classical constructs onto eight measurable steady-state biology axes; (2) realize personalized weighting via a fusion rule of "classical candidate ∩ individual genetic/omics weakness"; (3) validate directional correctness with a real-world human evidence base; (4) achieve continuous verification through the SIIV loop and hardware interfaces. We stress three red lines: mechanisms must anchor to measurable pathways (no empty phrases such as "repair cells"), classical texts ≠ molecular evidence, and non-pharmacological ≠ risk-free [ref: project core judgment spec].</w:t>
      </w:r>
    </w:p>
    <w:p>
      <w:r>
        <w:t>---</w:t>
      </w:r>
    </w:p>
    <w:p>
      <w:pPr>
        <w:pStyle w:val="Heading1"/>
      </w:pPr>
      <w:r>
        <w:t>2. Paradigm Axioms</w:t>
      </w:r>
    </w:p>
    <w:p>
      <w:r>
        <w:t>The framework is constrained by six inviolable axioms to avoid sliding into pseudoscience or over-promising:</w:t>
      </w:r>
    </w:p>
    <w:p>
      <w:pPr>
        <w:pStyle w:val="ListBullet"/>
      </w:pPr>
      <w:r>
        <w:rPr>
          <w:b/>
        </w:rPr>
      </w:r>
      <w:r>
        <w:t>A1 Homeostasis-first</w:t>
      </w:r>
      <w:r>
        <w:rPr>
          <w:b/>
        </w:rPr>
      </w:r>
      <w:r>
        <w:t>: The intervention target is to maintain/restore measurable steady-state axes, not to chase an extreme value of a single metric.</w:t>
      </w:r>
    </w:p>
    <w:p>
      <w:pPr>
        <w:pStyle w:val="ListBullet"/>
      </w:pPr>
      <w:r>
        <w:rPr>
          <w:b/>
        </w:rPr>
      </w:r>
      <w:r>
        <w:t>A2 Measure-to-intervene</w:t>
      </w:r>
      <w:r>
        <w:rPr>
          <w:b/>
        </w:rPr>
      </w:r>
      <w:r>
        <w:t>: Any recommended mechanism must map to a quantifiable biomarker (genetic, protein, metabolic, or wearable).</w:t>
      </w:r>
    </w:p>
    <w:p>
      <w:pPr>
        <w:pStyle w:val="ListBullet"/>
      </w:pPr>
      <w:r>
        <w:rPr>
          <w:b/>
        </w:rPr>
      </w:r>
      <w:r>
        <w:t>A3 Personalized weighting</w:t>
      </w:r>
      <w:r>
        <w:rPr>
          <w:b/>
        </w:rPr>
      </w:r>
      <w:r>
        <w:t>: Recommendation strength is determined by the intersection of "classical candidate × individual genetic/omics weakness"; single-SNP decisions are prohibited.</w:t>
      </w:r>
    </w:p>
    <w:p>
      <w:pPr>
        <w:pStyle w:val="ListBullet"/>
      </w:pPr>
      <w:r>
        <w:rPr>
          <w:b/>
        </w:rPr>
      </w:r>
      <w:r>
        <w:t>A4 Closed-loop verification</w:t>
      </w:r>
      <w:r>
        <w:rPr>
          <w:b/>
        </w:rPr>
      </w:r>
      <w:r>
        <w:t>: Inferences must be verifiable by post-intervention re-measurement (SIIV).</w:t>
      </w:r>
    </w:p>
    <w:p>
      <w:pPr>
        <w:pStyle w:val="ListBullet"/>
      </w:pPr>
      <w:r>
        <w:rPr>
          <w:b/>
        </w:rPr>
      </w:r>
      <w:r>
        <w:t>A5 Hormesis boundary</w:t>
      </w:r>
      <w:r>
        <w:rPr>
          <w:b/>
        </w:rPr>
      </w:r>
      <w:r>
        <w:t>: Most effective interventions follow an inverted-U dose–response; safe ranges and contraindications must be stated.</w:t>
      </w:r>
    </w:p>
    <w:p>
      <w:pPr>
        <w:pStyle w:val="ListBullet"/>
      </w:pPr>
      <w:r>
        <w:rPr>
          <w:b/>
        </w:rPr>
      </w:r>
      <w:r>
        <w:t>A6 Fallibility of experience</w:t>
      </w:r>
      <w:r>
        <w:rPr>
          <w:b/>
        </w:rPr>
      </w:r>
      <w:r>
        <w:t>: Classical experiential knowledge is treated as a falsifiable hypothesis (L3/L4), not endowed with molecular-level certainty.</w:t>
      </w:r>
    </w:p>
    <w:p>
      <w:r>
        <w:t>---</w:t>
      </w:r>
    </w:p>
    <w:p>
      <w:pPr>
        <w:pStyle w:val="Heading1"/>
      </w:pPr>
      <w:r>
        <w:t>3. Eight Steady-State Biology Axes</w:t>
      </w:r>
    </w:p>
    <w:p>
      <w:r>
        <w:t>Each axis maps a classical construct onto a modern measurable pathway and anchors evidence (excerpt; full set in the case base):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rPr>
              <w:t>Axis</w:t>
            </w:r>
          </w:p>
        </w:tc>
        <w:tc>
          <w:tcPr>
            <w:tcW w:type="dxa" w:w="2160"/>
          </w:tcPr>
          <w:p>
            <w:r/>
            <w:r>
              <w:rPr>
                <w:b/>
              </w:rPr>
              <w:t>Classical construct</w:t>
            </w:r>
          </w:p>
        </w:tc>
        <w:tc>
          <w:tcPr>
            <w:tcW w:type="dxa" w:w="2160"/>
          </w:tcPr>
          <w:p>
            <w:r/>
            <w:r>
              <w:rPr>
                <w:b/>
              </w:rPr>
              <w:t>Modern measurable pathway</w:t>
            </w:r>
          </w:p>
        </w:tc>
        <w:tc>
          <w:tcPr>
            <w:tcW w:type="dxa" w:w="2160"/>
          </w:tcPr>
          <w:p>
            <w:r/>
            <w:r>
              <w:rPr>
                <w:b/>
              </w:rPr>
              <w:t>Representative evidence (DOI-anchored)</w:t>
            </w:r>
          </w:p>
        </w:tc>
      </w:tr>
      <w:tr>
        <w:tc>
          <w:tcPr>
            <w:tcW w:type="dxa" w:w="2160"/>
          </w:tcPr>
          <w:p>
            <w:r/>
            <w:r>
              <w:rPr>
                <w:b/>
              </w:rPr>
            </w:r>
            <w:r>
              <w:t>A Gasification</w:t>
            </w:r>
            <w:r>
              <w:rPr>
                <w:b/>
              </w:rPr>
            </w:r>
          </w:p>
        </w:tc>
        <w:tc>
          <w:tcPr>
            <w:tcW w:type="dxa" w:w="2160"/>
          </w:tcPr>
          <w:p>
            <w:r/>
            <w:r>
              <w:t>qi transformation / transport</w:t>
            </w:r>
          </w:p>
        </w:tc>
        <w:tc>
          <w:tcPr>
            <w:tcW w:type="dxa" w:w="2160"/>
          </w:tcPr>
          <w:p>
            <w:r/>
            <w:r>
              <w:t>AMPK/mTOR autophagy, postprandial glucose slope</w:t>
            </w:r>
          </w:p>
        </w:tc>
        <w:tc>
          <w:tcPr>
            <w:tcW w:type="dxa" w:w="2160"/>
          </w:tcPr>
          <w:p>
            <w:r/>
            <w:r>
              <w:t>4-week fasting: LAMP2 ×4.2, LC3B ×1.9 (10.1016/j.clnesp.2024.11.002)</w:t>
            </w:r>
          </w:p>
        </w:tc>
      </w:tr>
      <w:tr>
        <w:tc>
          <w:tcPr>
            <w:tcW w:type="dxa" w:w="2160"/>
          </w:tcPr>
          <w:p>
            <w:r/>
            <w:r>
              <w:rPr>
                <w:b/>
              </w:rPr>
            </w:r>
            <w:r>
              <w:t>B Qi-blood–Mitochondria</w:t>
            </w:r>
            <w:r>
              <w:rPr>
                <w:b/>
              </w:rPr>
            </w:r>
          </w:p>
        </w:tc>
        <w:tc>
          <w:tcPr>
            <w:tcW w:type="dxa" w:w="2160"/>
          </w:tcPr>
          <w:p>
            <w:r/>
            <w:r>
              <w:t>qi-blood / tonify-qi</w:t>
            </w:r>
          </w:p>
        </w:tc>
        <w:tc>
          <w:tcPr>
            <w:tcW w:type="dxa" w:w="2160"/>
          </w:tcPr>
          <w:p>
            <w:r/>
            <w:r>
              <w:t>PGC-1α/SIRT1 mitochondrial biogenesis, VO2max</w:t>
            </w:r>
          </w:p>
        </w:tc>
        <w:tc>
          <w:tcPr>
            <w:tcW w:type="dxa" w:w="2160"/>
          </w:tcPr>
          <w:p>
            <w:r/>
            <w:r>
              <w:t>Single HIIT: nuclear PGC-1α within 3 h, new mitochondrial protein by 24 h (Little et al.)</w:t>
            </w:r>
          </w:p>
        </w:tc>
      </w:tr>
      <w:tr>
        <w:tc>
          <w:tcPr>
            <w:tcW w:type="dxa" w:w="2160"/>
          </w:tcPr>
          <w:p>
            <w:r/>
            <w:r>
              <w:rPr>
                <w:b/>
              </w:rPr>
            </w:r>
            <w:r>
              <w:t>C Luo-network–Stasis clearance</w:t>
            </w:r>
            <w:r>
              <w:rPr>
                <w:b/>
              </w:rPr>
            </w:r>
          </w:p>
        </w:tc>
        <w:tc>
          <w:tcPr>
            <w:tcW w:type="dxa" w:w="2160"/>
          </w:tcPr>
          <w:p>
            <w:r/>
            <w:r>
              <w:t>luo-network / phlegm-stasis / toxin-damaged luo</w:t>
            </w:r>
          </w:p>
        </w:tc>
        <w:tc>
          <w:tcPr>
            <w:tcW w:type="dxa" w:w="2160"/>
          </w:tcPr>
          <w:p>
            <w:r/>
            <w:r>
              <w:t>Senolytics (p16/p21, SASP)</w:t>
            </w:r>
          </w:p>
        </w:tc>
        <w:tc>
          <w:tcPr>
            <w:tcW w:type="dxa" w:w="2160"/>
          </w:tcPr>
          <w:p>
            <w:r/>
            <w:r>
              <w:t>D+Q in frail elderly: 400 m gait speed p=0.0001 (Justice et al. 2019 EBioMedicine; D+Q anchor Xu 2018 Nat Med doi:10.1038/s41591-018-0092-9; exact frailty DOI to verify pre-submission)</w:t>
            </w:r>
          </w:p>
        </w:tc>
      </w:tr>
      <w:tr>
        <w:tc>
          <w:tcPr>
            <w:tcW w:type="dxa" w:w="2160"/>
          </w:tcPr>
          <w:p>
            <w:r/>
            <w:r>
              <w:rPr>
                <w:b/>
              </w:rPr>
            </w:r>
            <w:r>
              <w:t>D Yin-yang–Circadian</w:t>
            </w:r>
            <w:r>
              <w:rPr>
                <w:b/>
              </w:rPr>
            </w:r>
          </w:p>
        </w:tc>
        <w:tc>
          <w:tcPr>
            <w:tcW w:type="dxa" w:w="2160"/>
          </w:tcPr>
          <w:p>
            <w:r/>
            <w:r>
              <w:t>yin-yang / regular routine</w:t>
            </w:r>
          </w:p>
        </w:tc>
        <w:tc>
          <w:tcPr>
            <w:tcW w:type="dxa" w:w="2160"/>
          </w:tcPr>
          <w:p>
            <w:r/>
            <w:r>
              <w:t>CLOCK/BMAL1, melatonin rhythm</w:t>
            </w:r>
          </w:p>
        </w:tc>
        <w:tc>
          <w:tcPr>
            <w:tcW w:type="dxa" w:w="2160"/>
          </w:tcPr>
          <w:p>
            <w:r/>
            <w:r>
              <w:t>Early TRE: hepatic fat ↓23.7% (Nature Medicine 2025, 10.1038/s41591-024-03375-y); evening blue light melatonin ↓&gt;55% (10.1073/pnas.1418490112)</w:t>
            </w:r>
          </w:p>
        </w:tc>
      </w:tr>
      <w:tr>
        <w:tc>
          <w:tcPr>
            <w:tcW w:type="dxa" w:w="2160"/>
          </w:tcPr>
          <w:p>
            <w:r/>
            <w:r>
              <w:rPr>
                <w:b/>
              </w:rPr>
            </w:r>
            <w:r>
              <w:t>E Zang-fu–Neuroendocrine</w:t>
            </w:r>
            <w:r>
              <w:rPr>
                <w:b/>
              </w:rPr>
            </w:r>
          </w:p>
        </w:tc>
        <w:tc>
          <w:tcPr>
            <w:tcW w:type="dxa" w:w="2160"/>
          </w:tcPr>
          <w:p>
            <w:r/>
            <w:r>
              <w:t>zang-fu / kidney life-gate</w:t>
            </w:r>
          </w:p>
        </w:tc>
        <w:tc>
          <w:tcPr>
            <w:tcW w:type="dxa" w:w="2160"/>
          </w:tcPr>
          <w:p>
            <w:r/>
            <w:r>
              <w:t>HPA axis, stress–cortisol</w:t>
            </w:r>
          </w:p>
        </w:tc>
        <w:tc>
          <w:tcPr>
            <w:tcW w:type="dxa" w:w="2160"/>
          </w:tcPr>
          <w:p>
            <w:r/>
            <w:r>
              <w:t>Meditation/breathing: HRV↑, cortisol↓ (cross-axis with G)</w:t>
            </w:r>
          </w:p>
        </w:tc>
      </w:tr>
      <w:tr>
        <w:tc>
          <w:tcPr>
            <w:tcW w:type="dxa" w:w="2160"/>
          </w:tcPr>
          <w:p>
            <w:r/>
            <w:r>
              <w:rPr>
                <w:b/>
              </w:rPr>
            </w:r>
            <w:r>
              <w:t>F Zheng-xie–Inflammation</w:t>
            </w:r>
            <w:r>
              <w:rPr>
                <w:b/>
              </w:rPr>
            </w:r>
          </w:p>
        </w:tc>
        <w:tc>
          <w:tcPr>
            <w:tcW w:type="dxa" w:w="2160"/>
          </w:tcPr>
          <w:p>
            <w:r/>
            <w:r>
              <w:t>zheng-xie / damp-heat</w:t>
            </w:r>
          </w:p>
        </w:tc>
        <w:tc>
          <w:tcPr>
            <w:tcW w:type="dxa" w:w="2160"/>
          </w:tcPr>
          <w:p>
            <w:r/>
            <w:r>
              <w:t>Low-grade inflammation (TNF-α/IL-6), resting heart rate</w:t>
            </w:r>
          </w:p>
        </w:tc>
        <w:tc>
          <w:tcPr>
            <w:tcW w:type="dxa" w:w="2160"/>
          </w:tcPr>
          <w:p>
            <w:r/>
            <w:r>
              <w:t>Fasting: IL-6/TNF-α↓ (10.1016/j.clnesp.2024.11.002)</w:t>
            </w:r>
          </w:p>
        </w:tc>
      </w:tr>
      <w:tr>
        <w:tc>
          <w:tcPr>
            <w:tcW w:type="dxa" w:w="2160"/>
          </w:tcPr>
          <w:p>
            <w:r/>
            <w:r>
              <w:rPr>
                <w:b/>
              </w:rPr>
            </w:r>
            <w:r>
              <w:t>G Shen–Affect</w:t>
            </w:r>
            <w:r>
              <w:rPr>
                <w:b/>
              </w:rPr>
            </w:r>
          </w:p>
        </w:tc>
        <w:tc>
          <w:tcPr>
            <w:tcW w:type="dxa" w:w="2160"/>
          </w:tcPr>
          <w:p>
            <w:r/>
            <w:r>
              <w:t>shen / affect</w:t>
            </w:r>
          </w:p>
        </w:tc>
        <w:tc>
          <w:tcPr>
            <w:tcW w:type="dxa" w:w="2160"/>
          </w:tcPr>
          <w:p>
            <w:r/>
            <w:r>
              <w:t>HRV (RMSSD), EEG α/θ, vagal tone</w:t>
            </w:r>
          </w:p>
        </w:tc>
        <w:tc>
          <w:tcPr>
            <w:tcW w:type="dxa" w:w="2160"/>
          </w:tcPr>
          <w:p>
            <w:r/>
            <w:r>
              <w:t>Meditation: EEG α↑ + HRV↑ (CASE-012)</w:t>
            </w:r>
          </w:p>
        </w:tc>
      </w:tr>
      <w:tr>
        <w:tc>
          <w:tcPr>
            <w:tcW w:type="dxa" w:w="2160"/>
          </w:tcPr>
          <w:p>
            <w:r/>
            <w:r>
              <w:rPr>
                <w:b/>
              </w:rPr>
            </w:r>
            <w:r>
              <w:t>H Congenital–Kidney-essence</w:t>
            </w:r>
            <w:r>
              <w:rPr>
                <w:b/>
              </w:rPr>
            </w:r>
          </w:p>
        </w:tc>
        <w:tc>
          <w:tcPr>
            <w:tcW w:type="dxa" w:w="2160"/>
          </w:tcPr>
          <w:p>
            <w:r/>
            <w:r>
              <w:t>congenital / kidney-essence / epigenetic</w:t>
            </w:r>
          </w:p>
        </w:tc>
        <w:tc>
          <w:tcPr>
            <w:tcW w:type="dxa" w:w="2160"/>
          </w:tcPr>
          <w:p>
            <w:r/>
            <w:r>
              <w:t>DNAm epigenetic clock</w:t>
            </w:r>
          </w:p>
        </w:tc>
        <w:tc>
          <w:tcPr>
            <w:tcW w:type="dxa" w:w="2160"/>
          </w:tcPr>
          <w:p>
            <w:r/>
            <w:r>
              <w:t>Simulated fasting 3 months: physiological age ↓2.5 yr (Nature Communications 2024)</w:t>
            </w:r>
          </w:p>
        </w:tc>
      </w:tr>
    </w:tbl>
    <w:p/>
    <w:p>
      <w:r>
        <w:rPr>
          <w:b/>
        </w:rPr>
      </w:r>
      <w:r>
        <w:t>Mapping philosophy</w:t>
      </w:r>
      <w:r>
        <w:rPr>
          <w:b/>
        </w:rPr>
      </w:r>
      <w:r>
        <w:t xml:space="preserve">: Classical constructs are not "proven equal to" modern pathways; they are </w:t>
      </w:r>
      <w:r>
        <w:rPr>
          <w:b/>
        </w:rPr>
      </w:r>
      <w:r>
        <w:t>projected as experiential priors</w:t>
      </w:r>
      <w:r>
        <w:rPr>
          <w:b/>
        </w:rPr>
      </w:r>
      <w:r>
        <w:t xml:space="preserve"> onto axes, then upgraded or vetoed by modern mechanisms and human evidence (four-tier evidence: mechanism / human RCT / canonical experiment / consensus).</w:t>
      </w:r>
    </w:p>
    <w:p>
      <w:r>
        <w:t>---</w:t>
      </w:r>
    </w:p>
    <w:p>
      <w:pPr>
        <w:pStyle w:val="Heading1"/>
      </w:pPr>
      <w:r>
        <w:t>4. Fusion Methodology</w:t>
      </w:r>
    </w:p>
    <w:p>
      <w:r>
        <w:t>Given a user's genetic/omics panel (</w:t>
      </w:r>
      <w:r>
        <w:rPr>
          <w:b/>
        </w:rPr>
      </w:r>
      <w:r>
        <w:t>pathway-level aggregated scores</w:t>
      </w:r>
      <w:r>
        <w:rPr>
          <w:b/>
        </w:rPr>
      </w:r>
      <w:r>
        <w:t>; SNP-level conclusions prohibited) and classical-candidate hits:</w:t>
      </w:r>
    </w:p>
    <w:p>
      <w:pPr>
        <w:ind w:left="432"/>
      </w:pPr>
      <w:r>
        <w:rPr>
          <w:rFonts w:ascii="Consolas" w:hAnsi="Consolas"/>
          <w:sz w:val="18"/>
        </w:rPr>
        <w:t>1. Mechanism mapping: classical candidate → modern pathway label (see project tcm_pathway_map)</w:t>
        <w:br/>
        <w:t>2. Personalized weighting: retain only the intersection of {classical candidate ∩ genetic-weakness pathway}</w:t>
        <w:br/>
        <w:t xml:space="preserve">     weakness = pathway score &lt; 0.5</w:t>
        <w:br/>
        <w:t xml:space="preserve">     larger intersection → higher weight</w:t>
        <w:br/>
        <w:t>3. Evidence grading: each candidate tagged L1–L4</w:t>
        <w:br/>
        <w:t>4. Output: 7 fields (target pathway / classical source / genetic relevance / evidence level / contraindication / monitoring metric / actionable prescription)</w:t>
        <w:br/>
        <w:t>5. Safety gate: contraindication auto-exclusion → non-medical disclaimer → high-intervention human approval</w:t>
      </w:r>
    </w:p>
    <w:p>
      <w:r>
        <w:rPr>
          <w:b/>
        </w:rPr>
      </w:r>
      <w:r>
        <w:t>Key constraints</w:t>
      </w:r>
      <w:r>
        <w:rPr>
          <w:b/>
        </w:rPr>
      </w:r>
      <w:r>
        <w:t>: A classical experience without a genetic intersection is downgraded to a "general suggestion"; absence of genetic data or human evidence forces an `is_demo` banner ("example, not customized for you"). Every conclusion must trace to at least one of {mechanism literature + classical original text + user genetic evidence}; if all three are missing, it can only be called a "general health suggestion."</w:t>
      </w:r>
    </w:p>
    <w:p>
      <w:r>
        <w:t>---</w:t>
      </w:r>
    </w:p>
    <w:p>
      <w:pPr>
        <w:pStyle w:val="Heading1"/>
      </w:pPr>
      <w:r>
        <w:t>5. Evidence Base: Real-World Case Library (n=24)</w:t>
      </w:r>
    </w:p>
    <w:p>
      <w:r>
        <w:t xml:space="preserve">We built `case_evidence_db.json` (machine-readable), containing 24 real human-trial or classical-experience entries as the empirical base for directional correctness. Grade distribution: </w:t>
      </w:r>
      <w:r>
        <w:rPr>
          <w:b/>
        </w:rPr>
      </w:r>
      <w:r>
        <w:t>L1=7 / L2=8 / L3=9</w:t>
      </w:r>
      <w:r>
        <w:rPr>
          <w:b/>
        </w:rPr>
      </w:r>
      <w:r>
        <w:t>. Representative entries: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ID</w:t>
            </w:r>
          </w:p>
        </w:tc>
        <w:tc>
          <w:tcPr>
            <w:tcW w:type="dxa" w:w="1234"/>
          </w:tcPr>
          <w:p>
            <w:r/>
            <w:r>
              <w:rPr>
                <w:b/>
              </w:rPr>
              <w:t>Intervention</w:t>
            </w:r>
          </w:p>
        </w:tc>
        <w:tc>
          <w:tcPr>
            <w:tcW w:type="dxa" w:w="1234"/>
          </w:tcPr>
          <w:p>
            <w:r/>
            <w:r>
              <w:rPr>
                <w:b/>
              </w:rPr>
              <w:t>Axis</w:t>
            </w:r>
          </w:p>
        </w:tc>
        <w:tc>
          <w:tcPr>
            <w:tcW w:type="dxa" w:w="1234"/>
          </w:tcPr>
          <w:p>
            <w:r/>
            <w:r>
              <w:rPr>
                <w:b/>
              </w:rPr>
              <w:t>Population/Design</w:t>
            </w:r>
          </w:p>
        </w:tc>
        <w:tc>
          <w:tcPr>
            <w:tcW w:type="dxa" w:w="1234"/>
          </w:tcPr>
          <w:p>
            <w:r/>
            <w:r>
              <w:rPr>
                <w:b/>
              </w:rPr>
              <w:t>Key effect</w:t>
            </w:r>
          </w:p>
        </w:tc>
        <w:tc>
          <w:tcPr>
            <w:tcW w:type="dxa" w:w="1234"/>
          </w:tcPr>
          <w:p>
            <w:r/>
            <w:r>
              <w:rPr>
                <w:b/>
              </w:rPr>
              <w:t>Grade</w:t>
            </w:r>
          </w:p>
        </w:tc>
        <w:tc>
          <w:tcPr>
            <w:tcW w:type="dxa" w:w="1234"/>
          </w:tcPr>
          <w:p>
            <w:r/>
            <w:r>
              <w:rPr>
                <w:b/>
              </w:rPr>
              <w:t>DOI</w:t>
            </w:r>
          </w:p>
        </w:tc>
      </w:tr>
      <w:tr>
        <w:tc>
          <w:tcPr>
            <w:tcW w:type="dxa" w:w="1234"/>
          </w:tcPr>
          <w:p>
            <w:r/>
            <w:r>
              <w:t>CASE-001</w:t>
            </w:r>
          </w:p>
        </w:tc>
        <w:tc>
          <w:tcPr>
            <w:tcW w:type="dxa" w:w="1234"/>
          </w:tcPr>
          <w:p>
            <w:r/>
            <w:r>
              <w:t>4-week fasting</w:t>
            </w:r>
          </w:p>
        </w:tc>
        <w:tc>
          <w:tcPr>
            <w:tcW w:type="dxa" w:w="1234"/>
          </w:tcPr>
          <w:p>
            <w:r/>
            <w:r>
              <w:t>A/F</w:t>
            </w:r>
          </w:p>
        </w:tc>
        <w:tc>
          <w:tcPr>
            <w:tcW w:type="dxa" w:w="1234"/>
          </w:tcPr>
          <w:p>
            <w:r/>
            <w:r>
              <w:t>51-person RCT</w:t>
            </w:r>
          </w:p>
        </w:tc>
        <w:tc>
          <w:tcPr>
            <w:tcW w:type="dxa" w:w="1234"/>
          </w:tcPr>
          <w:p>
            <w:r/>
            <w:r>
              <w:t>LAMP2 ×4.2, LC3B ×1.9, IL-6/TNF-α↓</w:t>
            </w:r>
          </w:p>
        </w:tc>
        <w:tc>
          <w:tcPr>
            <w:tcW w:type="dxa" w:w="1234"/>
          </w:tcPr>
          <w:p>
            <w:r/>
            <w:r>
              <w:t>L1</w:t>
            </w:r>
          </w:p>
        </w:tc>
        <w:tc>
          <w:tcPr>
            <w:tcW w:type="dxa" w:w="1234"/>
          </w:tcPr>
          <w:p>
            <w:r/>
            <w:r>
              <w:t>10.1016/j.clnesp.2024.11.002</w:t>
            </w:r>
          </w:p>
        </w:tc>
      </w:tr>
      <w:tr>
        <w:tc>
          <w:tcPr>
            <w:tcW w:type="dxa" w:w="1234"/>
          </w:tcPr>
          <w:p>
            <w:r/>
            <w:r>
              <w:t>CASE-006</w:t>
            </w:r>
          </w:p>
        </w:tc>
        <w:tc>
          <w:tcPr>
            <w:tcW w:type="dxa" w:w="1234"/>
          </w:tcPr>
          <w:p>
            <w:r/>
            <w:r>
              <w:t>D+Q in frail elderly</w:t>
            </w:r>
          </w:p>
        </w:tc>
        <w:tc>
          <w:tcPr>
            <w:tcW w:type="dxa" w:w="1234"/>
          </w:tcPr>
          <w:p>
            <w:r/>
            <w:r>
              <w:t>C</w:t>
            </w:r>
          </w:p>
        </w:tc>
        <w:tc>
          <w:tcPr>
            <w:tcW w:type="dxa" w:w="1234"/>
          </w:tcPr>
          <w:p>
            <w:r/>
            <w:r>
              <w:t>≥70 yr, n=29</w:t>
            </w:r>
          </w:p>
        </w:tc>
        <w:tc>
          <w:tcPr>
            <w:tcW w:type="dxa" w:w="1234"/>
          </w:tcPr>
          <w:p>
            <w:r/>
            <w:r>
              <w:t>400 m gait speed p=0.0001</w:t>
            </w:r>
          </w:p>
        </w:tc>
        <w:tc>
          <w:tcPr>
            <w:tcW w:type="dxa" w:w="1234"/>
          </w:tcPr>
          <w:p>
            <w:r/>
            <w:r>
              <w:t>L1</w:t>
            </w:r>
          </w:p>
        </w:tc>
        <w:tc>
          <w:tcPr>
            <w:tcW w:type="dxa" w:w="1234"/>
          </w:tcPr>
          <w:p>
            <w:r/>
            <w:r>
              <w:t>10.1038/s41591-018-0092-9</w:t>
            </w:r>
          </w:p>
        </w:tc>
      </w:tr>
      <w:tr>
        <w:tc>
          <w:tcPr>
            <w:tcW w:type="dxa" w:w="1234"/>
          </w:tcPr>
          <w:p>
            <w:r/>
            <w:r>
              <w:t>CASE-007</w:t>
            </w:r>
          </w:p>
        </w:tc>
        <w:tc>
          <w:tcPr>
            <w:tcW w:type="dxa" w:w="1234"/>
          </w:tcPr>
          <w:p>
            <w:r/>
            <w:r>
              <w:t>Early time-restricted eating</w:t>
            </w:r>
          </w:p>
        </w:tc>
        <w:tc>
          <w:tcPr>
            <w:tcW w:type="dxa" w:w="1234"/>
          </w:tcPr>
          <w:p>
            <w:r/>
            <w:r>
              <w:t>D</w:t>
            </w:r>
          </w:p>
        </w:tc>
        <w:tc>
          <w:tcPr>
            <w:tcW w:type="dxa" w:w="1234"/>
          </w:tcPr>
          <w:p>
            <w:r/>
            <w:r>
              <w:t>197-person RCT</w:t>
            </w:r>
          </w:p>
        </w:tc>
        <w:tc>
          <w:tcPr>
            <w:tcW w:type="dxa" w:w="1234"/>
          </w:tcPr>
          <w:p>
            <w:r/>
            <w:r>
              <w:t>subcutaneous fat / fasting glucose improved</w:t>
            </w:r>
          </w:p>
        </w:tc>
        <w:tc>
          <w:tcPr>
            <w:tcW w:type="dxa" w:w="1234"/>
          </w:tcPr>
          <w:p>
            <w:r/>
            <w:r>
              <w:t>L1</w:t>
            </w:r>
          </w:p>
        </w:tc>
        <w:tc>
          <w:tcPr>
            <w:tcW w:type="dxa" w:w="1234"/>
          </w:tcPr>
          <w:p>
            <w:r/>
            <w:r>
              <w:t>10.1038/s41591-024-03375-y</w:t>
            </w:r>
          </w:p>
        </w:tc>
      </w:tr>
      <w:tr>
        <w:tc>
          <w:tcPr>
            <w:tcW w:type="dxa" w:w="1234"/>
          </w:tcPr>
          <w:p>
            <w:r/>
            <w:r>
              <w:t>CASE-008</w:t>
            </w:r>
          </w:p>
        </w:tc>
        <w:tc>
          <w:tcPr>
            <w:tcW w:type="dxa" w:w="1234"/>
          </w:tcPr>
          <w:p>
            <w:r/>
            <w:r>
              <w:t>16:8 time-restricted eating</w:t>
            </w:r>
          </w:p>
        </w:tc>
        <w:tc>
          <w:tcPr>
            <w:tcW w:type="dxa" w:w="1234"/>
          </w:tcPr>
          <w:p>
            <w:r/>
            <w:r>
              <w:t>D</w:t>
            </w:r>
          </w:p>
        </w:tc>
        <w:tc>
          <w:tcPr>
            <w:tcW w:type="dxa" w:w="1234"/>
          </w:tcPr>
          <w:p>
            <w:r/>
            <w:r>
              <w:t>n=333</w:t>
            </w:r>
          </w:p>
        </w:tc>
        <w:tc>
          <w:tcPr>
            <w:tcW w:type="dxa" w:w="1234"/>
          </w:tcPr>
          <w:p>
            <w:r/>
            <w:r>
              <w:t>hepatic fat ↓23.7%</w:t>
            </w:r>
          </w:p>
        </w:tc>
        <w:tc>
          <w:tcPr>
            <w:tcW w:type="dxa" w:w="1234"/>
          </w:tcPr>
          <w:p>
            <w:r/>
            <w:r>
              <w:t>L1</w:t>
            </w:r>
          </w:p>
        </w:tc>
        <w:tc>
          <w:tcPr>
            <w:tcW w:type="dxa" w:w="1234"/>
          </w:tcPr>
          <w:p>
            <w:r/>
            <w:r>
              <w:t>Hepatology 2025 (verify full text pre-submission)</w:t>
            </w:r>
          </w:p>
        </w:tc>
      </w:tr>
      <w:tr>
        <w:tc>
          <w:tcPr>
            <w:tcW w:type="dxa" w:w="1234"/>
          </w:tcPr>
          <w:p>
            <w:r/>
            <w:r>
              <w:t>CASE-010</w:t>
            </w:r>
          </w:p>
        </w:tc>
        <w:tc>
          <w:tcPr>
            <w:tcW w:type="dxa" w:w="1234"/>
          </w:tcPr>
          <w:p>
            <w:r/>
            <w:r>
              <w:t>CGM measurement</w:t>
            </w:r>
          </w:p>
        </w:tc>
        <w:tc>
          <w:tcPr>
            <w:tcW w:type="dxa" w:w="1234"/>
          </w:tcPr>
          <w:p>
            <w:r/>
            <w:r>
              <w:t>A/D</w:t>
            </w:r>
          </w:p>
        </w:tc>
        <w:tc>
          <w:tcPr>
            <w:tcW w:type="dxa" w:w="1234"/>
          </w:tcPr>
          <w:p>
            <w:r/>
            <w:r>
              <w:t>n=57</w:t>
            </w:r>
          </w:p>
        </w:tc>
        <w:tc>
          <w:tcPr>
            <w:tcW w:type="dxa" w:w="1234"/>
          </w:tcPr>
          <w:p>
            <w:r/>
            <w:r>
              <w:t>96% postprandial glucose &gt;140</w:t>
            </w:r>
          </w:p>
        </w:tc>
        <w:tc>
          <w:tcPr>
            <w:tcW w:type="dxa" w:w="1234"/>
          </w:tcPr>
          <w:p>
            <w:r/>
            <w:r>
              <w:t>L1</w:t>
            </w:r>
          </w:p>
        </w:tc>
        <w:tc>
          <w:tcPr>
            <w:tcW w:type="dxa" w:w="1234"/>
          </w:tcPr>
          <w:p>
            <w:r/>
            <w:r>
              <w:t>Cell Metabolism 2024</w:t>
            </w:r>
          </w:p>
        </w:tc>
      </w:tr>
      <w:tr>
        <w:tc>
          <w:tcPr>
            <w:tcW w:type="dxa" w:w="1234"/>
          </w:tcPr>
          <w:p>
            <w:r/>
            <w:r>
              <w:t>CASE-022</w:t>
            </w:r>
          </w:p>
        </w:tc>
        <w:tc>
          <w:tcPr>
            <w:tcW w:type="dxa" w:w="1234"/>
          </w:tcPr>
          <w:p>
            <w:r/>
            <w:r>
              <w:t>Evening blue-light avoidance</w:t>
            </w:r>
          </w:p>
        </w:tc>
        <w:tc>
          <w:tcPr>
            <w:tcW w:type="dxa" w:w="1234"/>
          </w:tcPr>
          <w:p>
            <w:r/>
            <w:r>
              <w:t>D</w:t>
            </w:r>
          </w:p>
        </w:tc>
        <w:tc>
          <w:tcPr>
            <w:tcW w:type="dxa" w:w="1234"/>
          </w:tcPr>
          <w:p>
            <w:r/>
            <w:r>
              <w:t>n=12 crossover</w:t>
            </w:r>
          </w:p>
        </w:tc>
        <w:tc>
          <w:tcPr>
            <w:tcW w:type="dxa" w:w="1234"/>
          </w:tcPr>
          <w:p>
            <w:r/>
            <w:r>
              <w:t>melatonin ↓&gt;55%, phase delay 1.5 h</w:t>
            </w:r>
          </w:p>
        </w:tc>
        <w:tc>
          <w:tcPr>
            <w:tcW w:type="dxa" w:w="1234"/>
          </w:tcPr>
          <w:p>
            <w:r/>
            <w:r>
              <w:t>L2</w:t>
            </w:r>
          </w:p>
        </w:tc>
        <w:tc>
          <w:tcPr>
            <w:tcW w:type="dxa" w:w="1234"/>
          </w:tcPr>
          <w:p>
            <w:r/>
            <w:r>
              <w:t>10.1073/pnas.1418490112</w:t>
            </w:r>
          </w:p>
        </w:tc>
      </w:tr>
      <w:tr>
        <w:tc>
          <w:tcPr>
            <w:tcW w:type="dxa" w:w="1234"/>
          </w:tcPr>
          <w:p>
            <w:r/>
            <w:r>
              <w:t>CASE-023</w:t>
            </w:r>
          </w:p>
        </w:tc>
        <w:tc>
          <w:tcPr>
            <w:tcW w:type="dxa" w:w="1234"/>
          </w:tcPr>
          <w:p>
            <w:r/>
            <w:r>
              <w:t>Morning bright-light exposure</w:t>
            </w:r>
          </w:p>
        </w:tc>
        <w:tc>
          <w:tcPr>
            <w:tcW w:type="dxa" w:w="1234"/>
          </w:tcPr>
          <w:p>
            <w:r/>
            <w:r>
              <w:t>D</w:t>
            </w:r>
          </w:p>
        </w:tc>
        <w:tc>
          <w:tcPr>
            <w:tcW w:type="dxa" w:w="1234"/>
          </w:tcPr>
          <w:p>
            <w:r/>
            <w:r>
              <w:t>n=30 RCT</w:t>
            </w:r>
          </w:p>
        </w:tc>
        <w:tc>
          <w:tcPr>
            <w:tcW w:type="dxa" w:w="1234"/>
          </w:tcPr>
          <w:p>
            <w:r/>
            <w:r>
              <w:t>sleep efficiency↑ (p=0.03), latency↓ (p=0.03)</w:t>
            </w:r>
          </w:p>
        </w:tc>
        <w:tc>
          <w:tcPr>
            <w:tcW w:type="dxa" w:w="1234"/>
          </w:tcPr>
          <w:p>
            <w:r/>
            <w:r>
              <w:t>L2</w:t>
            </w:r>
          </w:p>
        </w:tc>
        <w:tc>
          <w:tcPr>
            <w:tcW w:type="dxa" w:w="1234"/>
          </w:tcPr>
          <w:p>
            <w:r/>
            <w:r>
              <w:t>10.1016/j.sleep.2020.05.009</w:t>
            </w:r>
          </w:p>
        </w:tc>
      </w:tr>
      <w:tr>
        <w:tc>
          <w:tcPr>
            <w:tcW w:type="dxa" w:w="1234"/>
          </w:tcPr>
          <w:p>
            <w:r/>
            <w:r>
              <w:t>CASE-014~021</w:t>
            </w:r>
          </w:p>
        </w:tc>
        <w:tc>
          <w:tcPr>
            <w:tcW w:type="dxa" w:w="1234"/>
          </w:tcPr>
          <w:p>
            <w:r/>
            <w:r>
              <w:t>Food-as-medicine nature–flavor</w:t>
            </w:r>
          </w:p>
        </w:tc>
        <w:tc>
          <w:tcPr>
            <w:tcW w:type="dxa" w:w="1234"/>
          </w:tcPr>
          <w:p>
            <w:r/>
            <w:r>
              <w:t>A–H</w:t>
            </w:r>
          </w:p>
        </w:tc>
        <w:tc>
          <w:tcPr>
            <w:tcW w:type="dxa" w:w="1234"/>
          </w:tcPr>
          <w:p>
            <w:r/>
            <w:r>
              <w:t>classical experience</w:t>
            </w:r>
          </w:p>
        </w:tc>
        <w:tc>
          <w:tcPr>
            <w:tcW w:type="dxa" w:w="1234"/>
          </w:tcPr>
          <w:p>
            <w:r/>
            <w:r>
              <w:t>nature–flavor → axis projection (L3 traditional hypothesis)</w:t>
            </w:r>
          </w:p>
        </w:tc>
        <w:tc>
          <w:tcPr>
            <w:tcW w:type="dxa" w:w="1234"/>
          </w:tcPr>
          <w:p>
            <w:r/>
            <w:r>
              <w:t>L3</w:t>
            </w:r>
          </w:p>
        </w:tc>
        <w:tc>
          <w:tcPr>
            <w:tcW w:type="dxa" w:w="1234"/>
          </w:tcPr>
          <w:p>
            <w:r/>
            <w:r>
              <w:t>Shi Liao Ben Cao (Tang dynasty)</w:t>
            </w:r>
          </w:p>
        </w:tc>
      </w:tr>
    </w:tbl>
    <w:p/>
    <w:p>
      <w:pPr>
        <w:ind w:left="432"/>
      </w:pPr>
      <w:r>
        <w:rPr>
          <w:i/>
          <w:color w:val="555555"/>
          <w:sz w:val="19"/>
        </w:rPr>
        <w:t>Note: Before submission, verify sample sizes, confidence intervals, and full-text DOIs entry by entry. DOIs listed here are those already anchored; the remainder are marked by journal+year pending final confirmation.</w:t>
      </w:r>
    </w:p>
    <w:p>
      <w:r>
        <w:t>---</w:t>
      </w:r>
    </w:p>
    <w:p>
      <w:pPr>
        <w:pStyle w:val="Heading1"/>
      </w:pPr>
      <w:r>
        <w:t>6. Computational Validation of the Fusion Engine</w:t>
      </w:r>
    </w:p>
    <w:p>
      <w:r>
        <w:t xml:space="preserve">To demonstrate that the fusion rule is a computable, auditable method (not an untestable black box), we conducted an in-silico validation of the §4 engine. We drove the engine with 22 synthetic UserProfiles (20 weakness profiles + 2 controls: all-strong scores / empty genome) and measured, as a "method," its reproducibility, specificity, coverage, axis activation, evidence grading, and convergence validity. </w:t>
      </w:r>
      <w:r>
        <w:rPr>
          <w:b/>
        </w:rPr>
      </w:r>
      <w:r>
        <w:t>All inputs are synthetic pathway scores; no real human genomic data is involved</w:t>
      </w:r>
      <w:r>
        <w:rPr>
          <w:b/>
        </w:rPr>
      </w:r>
      <w:r>
        <w:t xml:space="preserve">, consistent with the non-medical and </w:t>
      </w:r>
      <w:r>
        <w:rPr>
          <w:i/>
        </w:rPr>
      </w:r>
      <w:r>
        <w:t>Human Genetic Resources</w:t>
      </w:r>
      <w:r>
        <w:rPr>
          <w:i/>
        </w:rPr>
      </w:r>
      <w:r>
        <w:t xml:space="preserve"> compliance red lines.</w:t>
      </w:r>
    </w:p>
    <w:p>
      <w:r>
        <w:rPr>
          <w:b/>
        </w:rPr>
      </w:r>
      <w:r>
        <w:t>Table 2. Fusion-engine computational validation metrics</w:t>
      </w:r>
      <w:r>
        <w:rPr>
          <w:b/>
        </w:rPr>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Metric</w:t>
            </w:r>
          </w:p>
        </w:tc>
        <w:tc>
          <w:tcPr>
            <w:tcW w:type="dxa" w:w="4320"/>
          </w:tcPr>
          <w:p>
            <w:r/>
            <w:r>
              <w:rPr>
                <w:b/>
              </w:rPr>
              <w:t>Result</w:t>
            </w:r>
          </w:p>
        </w:tc>
      </w:tr>
      <w:tr>
        <w:tc>
          <w:tcPr>
            <w:tcW w:type="dxa" w:w="4320"/>
          </w:tcPr>
          <w:p>
            <w:r/>
            <w:r>
              <w:t>Reproducibility (dual-run agreement)</w:t>
            </w:r>
          </w:p>
        </w:tc>
        <w:tc>
          <w:tcPr>
            <w:tcW w:type="dxa" w:w="4320"/>
          </w:tcPr>
          <w:p>
            <w:r/>
            <w:r>
              <w:t>100% (0/22 disagreement)</w:t>
            </w:r>
          </w:p>
        </w:tc>
      </w:tr>
      <w:tr>
        <w:tc>
          <w:tcPr>
            <w:tcW w:type="dxa" w:w="4320"/>
          </w:tcPr>
          <w:p>
            <w:r/>
            <w:r>
              <w:t>Mean personalized recommendations per weakness profile</w:t>
            </w:r>
          </w:p>
        </w:tc>
        <w:tc>
          <w:tcPr>
            <w:tcW w:type="dxa" w:w="4320"/>
          </w:tcPr>
          <w:p>
            <w:r/>
            <w:r>
              <w:t>5.95</w:t>
            </w:r>
          </w:p>
        </w:tc>
      </w:tr>
      <w:tr>
        <w:tc>
          <w:tcPr>
            <w:tcW w:type="dxa" w:w="4320"/>
          </w:tcPr>
          <w:p>
            <w:r/>
            <w:r>
              <w:t>Mean personalized recommendations per control profile</w:t>
            </w:r>
          </w:p>
        </w:tc>
        <w:tc>
          <w:tcPr>
            <w:tcW w:type="dxa" w:w="4320"/>
          </w:tcPr>
          <w:p>
            <w:r/>
            <w:r>
              <w:t>0.0</w:t>
            </w:r>
          </w:p>
        </w:tc>
      </w:tr>
      <w:tr>
        <w:tc>
          <w:tcPr>
            <w:tcW w:type="dxa" w:w="4320"/>
          </w:tcPr>
          <w:p>
            <w:r/>
            <w:r>
              <w:t>Weakness-profile coverage (≥1 personalized)</w:t>
            </w:r>
          </w:p>
        </w:tc>
        <w:tc>
          <w:tcPr>
            <w:tcW w:type="dxa" w:w="4320"/>
          </w:tcPr>
          <w:p>
            <w:r/>
            <w:r>
              <w:t>100%</w:t>
            </w:r>
          </w:p>
        </w:tc>
      </w:tr>
      <w:tr>
        <w:tc>
          <w:tcPr>
            <w:tcW w:type="dxa" w:w="4320"/>
          </w:tcPr>
          <w:p>
            <w:r/>
            <w:r>
              <w:t>Weakness-profile L1-coverage</w:t>
            </w:r>
          </w:p>
        </w:tc>
        <w:tc>
          <w:tcPr>
            <w:tcW w:type="dxa" w:w="4320"/>
          </w:tcPr>
          <w:p>
            <w:r/>
            <w:r>
              <w:t>90%</w:t>
            </w:r>
          </w:p>
        </w:tc>
      </w:tr>
      <w:tr>
        <w:tc>
          <w:tcPr>
            <w:tcW w:type="dxa" w:w="4320"/>
          </w:tcPr>
          <w:p>
            <w:r/>
            <w:r>
              <w:t>Convergence validity vs. traditional-medicine domain expectations</w:t>
            </w:r>
          </w:p>
        </w:tc>
        <w:tc>
          <w:tcPr>
            <w:tcW w:type="dxa" w:w="4320"/>
          </w:tcPr>
          <w:p>
            <w:r/>
            <w:r>
              <w:t>85%</w:t>
            </w:r>
          </w:p>
        </w:tc>
      </w:tr>
      <w:tr>
        <w:tc>
          <w:tcPr>
            <w:tcW w:type="dxa" w:w="4320"/>
          </w:tcPr>
          <w:p>
            <w:r/>
            <w:r>
              <w:t>Contraindication exclusion (weak F+D + "pregnancy")</w:t>
            </w:r>
          </w:p>
        </w:tc>
        <w:tc>
          <w:tcPr>
            <w:tcW w:type="dxa" w:w="4320"/>
          </w:tcPr>
          <w:p>
            <w:r/>
            <w:r>
              <w:t>1 entry (CASE-017)</w:t>
            </w:r>
          </w:p>
        </w:tc>
      </w:tr>
    </w:tbl>
    <w:p/>
    <w:p>
      <w:r>
        <w:rPr>
          <w:b/>
        </w:rPr>
      </w:r>
      <w:r>
        <w:t>Axis activation distribution</w:t>
      </w:r>
      <w:r>
        <w:rPr>
          <w:b/>
        </w:rPr>
      </w:r>
      <w:r>
        <w:t xml:space="preserve"> (hits per weakness profile): A=4, B=5, C=4, D=5, E=3, F=5, G=4, H=3 — all eight axes were effectively activated, with no axis collapse.</w:t>
      </w:r>
    </w:p>
    <w:p>
      <w:r>
        <w:rPr>
          <w:b/>
        </w:rPr>
      </w:r>
      <w:r>
        <w:t>Evidence-grade distribution</w:t>
      </w:r>
      <w:r>
        <w:rPr>
          <w:b/>
        </w:rPr>
      </w:r>
      <w:r>
        <w:t xml:space="preserve"> (personalized recommendation pool, n=119): L1=47 (39%), L2=46 (39%), L3=26 (22%) — nearly 80% supported by human/RCT-level (L1+L2) evidence.</w:t>
      </w:r>
    </w:p>
    <w:p>
      <w:r>
        <w:rPr>
          <w:b/>
        </w:rPr>
      </w:r>
      <w:r>
        <w:t>Specificity</w:t>
      </w:r>
      <w:r>
        <w:rPr>
          <w:b/>
        </w:rPr>
      </w:r>
      <w:r>
        <w:t xml:space="preserve">: Control profiles (all-strong / empty genome) produced only general suggestions with 0 personalized recommendations, proving the intersection logic responds to real input rather than emitting indiscriminately. </w:t>
      </w:r>
      <w:r>
        <w:rPr>
          <w:b/>
        </w:rPr>
      </w:r>
      <w:r>
        <w:t>Safety guardrail</w:t>
      </w:r>
      <w:r>
        <w:rPr>
          <w:b/>
        </w:rPr>
      </w:r>
      <w:r>
        <w:t>: After adding the "pregnancy" contraindication to a weak F+D profile, CASE-017 was auto-excluded under full-candidate evaluation, proving the non-medical safety gate actually operates within the method.</w:t>
      </w:r>
    </w:p>
    <w:p>
      <w:pPr>
        <w:ind w:left="432"/>
      </w:pPr>
      <w:r>
        <w:rPr>
          <w:i/>
          <w:color w:val="555555"/>
          <w:sz w:val="19"/>
        </w:rPr>
        <w:t>Limitation: This validation is an **in-silico method validation** — it tests the engine logic itself (reproducibility / specificity / coverage / validity) and **does not represent the human efficacy of the recommended interventions**; intervention efficacy must be assessed by independent prospective studies. Full per-profile / per-recommendation detail is in the supplement `HealthLens_computational_validation_supplement.csv`; raw metrics in `engine_validation_metrics.json`.</w:t>
      </w:r>
    </w:p>
    <w:p>
      <w:r>
        <w:t>---</w:t>
      </w:r>
    </w:p>
    <w:p>
      <w:pPr>
        <w:pStyle w:val="Heading1"/>
      </w:pPr>
      <w:r>
        <w:t>7. Closed-Loop Verification (SIIV)</w:t>
      </w:r>
    </w:p>
    <w:p>
      <w:pPr>
        <w:ind w:left="432"/>
      </w:pPr>
      <w:r>
        <w:rPr>
          <w:rFonts w:ascii="Consolas" w:hAnsi="Consolas"/>
          <w:sz w:val="18"/>
        </w:rPr>
        <w:t>Sense   ← wearable HRV/sleep, CGM postprandial drift, BCI/EEG, future omics</w:t>
        <w:br/>
        <w:t xml:space="preserve">   ↓</w:t>
        <w:br/>
        <w:t>Infer   ← eight-axis homeostasis scoring + genetic-weakness fusion (§4)</w:t>
        <w:br/>
        <w:t xml:space="preserve">   ↓</w:t>
        <w:br/>
        <w:t>Intervene ← non-pharmacological suggestions (daoyin / fasting / food-as-medicine / rhythm / affect)</w:t>
        <w:br/>
        <w:t xml:space="preserve">   ↓</w:t>
        <w:br/>
        <w:t>Verify  ← re-measure axis markers, update personalized weights</w:t>
      </w:r>
    </w:p>
    <w:p>
      <w:r>
        <w:t>This loop turns the theory from a "text hypothesis" into a measurable, falsifiable living system. Hardware interfaces (Huawei HiHealth / Apple Health / CGM / consumer BCI) are normalized through the eight-axis mapper, under the principles of revocable authorization, local-first, de-identification, and non-diagnostic use [ref: hardware architecture].</w:t>
      </w:r>
    </w:p>
    <w:p>
      <w:r>
        <w:t>---</w:t>
      </w:r>
    </w:p>
    <w:p>
      <w:pPr>
        <w:pStyle w:val="Heading1"/>
      </w:pPr>
      <w:r>
        <w:t>8. Novelty &amp; Dialogue with Existing Paradigms</w:t>
      </w:r>
    </w:p>
    <w:p>
      <w:pPr>
        <w:pStyle w:val="ListBullet"/>
      </w:pPr>
      <w:r>
        <w:rPr>
          <w:b/>
        </w:rPr>
      </w:r>
      <w:r>
        <w:t>vs Network Medicine</w:t>
      </w:r>
      <w:r>
        <w:rPr>
          <w:b/>
        </w:rPr>
      </w:r>
      <w:r>
        <w:t>: We add the non-molecular node of "classical experiential prior," projecting it as the initial weight of an axis rather than inferring solely from molecular interaction networks.</w:t>
      </w:r>
    </w:p>
    <w:p>
      <w:pPr>
        <w:pStyle w:val="ListBullet"/>
      </w:pPr>
      <w:r>
        <w:rPr>
          <w:b/>
        </w:rPr>
      </w:r>
      <w:r>
        <w:t>vs Hormesis theory</w:t>
      </w:r>
      <w:r>
        <w:rPr>
          <w:b/>
        </w:rPr>
      </w:r>
      <w:r>
        <w:t>: The framework writes the hormetic inverted-U into axiom A5 and the safe-range, avoiding the "more is better" fallacy.</w:t>
      </w:r>
    </w:p>
    <w:p>
      <w:pPr>
        <w:pStyle w:val="ListBullet"/>
      </w:pPr>
      <w:r>
        <w:rPr>
          <w:b/>
        </w:rPr>
      </w:r>
      <w:r>
        <w:t>vs systems-biology Chinese medicine</w:t>
      </w:r>
      <w:r>
        <w:rPr>
          <w:b/>
        </w:rPr>
      </w:r>
      <w:r>
        <w:t xml:space="preserve"> (Wang Yongyan's "kidney-deficiency phlegm-stasis – toxin-damaged luo," complex-network control-theory formulae): ISSBF explicitly maps its "luo / phlegm-stasis" to axis C (senolytics) and adds a quantifiable closed-loop verification layer.</w:t>
      </w:r>
    </w:p>
    <w:p>
      <w:pPr>
        <w:pStyle w:val="ListBullet"/>
      </w:pPr>
      <w:r>
        <w:rPr>
          <w:b/>
        </w:rPr>
      </w:r>
      <w:r>
        <w:t>vs Chronobiology</w:t>
      </w:r>
      <w:r>
        <w:rPr>
          <w:b/>
        </w:rPr>
      </w:r>
      <w:r>
        <w:t>: Axis D anchors "regular routine / avoid light at night / rise at dawn" to the measurable melatonin–SCN loop (CASE-022/023).</w:t>
      </w:r>
    </w:p>
    <w:p>
      <w:r>
        <w:rPr>
          <w:b/>
        </w:rPr>
      </w:r>
      <w:r>
        <w:t>Novelty statement</w:t>
      </w:r>
      <w:r>
        <w:rPr>
          <w:b/>
        </w:rPr>
      </w:r>
      <w:r>
        <w:t xml:space="preserve">: The core increments of ISSBF are (1) a computable mapping from classical constructs → eight axes, (2) an intersection fusion of classical candidate × genetic weakness, (3) the SIIV closed loop, and (4) a unified definition of hardware data interfaces. It does not claim any mechanism beyond known biology, but offers a </w:t>
      </w:r>
      <w:r>
        <w:rPr>
          <w:b/>
        </w:rPr>
      </w:r>
      <w:r>
        <w:t>meta-framework for integration and prioritization</w:t>
      </w:r>
      <w:r>
        <w:rPr>
          <w:b/>
        </w:rPr>
      </w:r>
      <w:r>
        <w:t>.</w:t>
      </w:r>
    </w:p>
    <w:p>
      <w:r>
        <w:t>---</w:t>
      </w:r>
    </w:p>
    <w:p>
      <w:pPr>
        <w:pStyle w:val="Heading1"/>
      </w:pPr>
      <w:r>
        <w:t>9. Limitations &amp; Future Validation</w:t>
      </w:r>
    </w:p>
    <w:p>
      <w:r>
        <w:t xml:space="preserve">1. </w:t>
      </w:r>
      <w:r>
        <w:rPr>
          <w:b/>
        </w:rPr>
      </w:r>
      <w:r>
        <w:t>The framework as a whole is not yet frontally validated by a single RCT</w:t>
      </w:r>
      <w:r>
        <w:rPr>
          <w:b/>
        </w:rPr>
      </w:r>
      <w:r>
        <w:t>: Each axis has evidence, but "fusion judgement outperforms experience / outperforms single omics" is not yet proven by prospective trial.</w:t>
      </w:r>
    </w:p>
    <w:p>
      <w:r>
        <w:t xml:space="preserve">2. </w:t>
      </w:r>
      <w:r>
        <w:rPr>
          <w:b/>
        </w:rPr>
      </w:r>
      <w:r>
        <w:t>Subjectivity of classical projection</w:t>
      </w:r>
      <w:r>
        <w:rPr>
          <w:b/>
        </w:rPr>
      </w:r>
      <w:r>
        <w:t>: nature–flavor → axis mapping needs further calibration by independent expert Delphi and quantitative text mining.</w:t>
      </w:r>
    </w:p>
    <w:p>
      <w:r>
        <w:t xml:space="preserve">3. </w:t>
      </w:r>
      <w:r>
        <w:rPr>
          <w:b/>
        </w:rPr>
      </w:r>
      <w:r>
        <w:t>Low effect size at the genetic layer</w:t>
      </w:r>
      <w:r>
        <w:rPr>
          <w:b/>
        </w:rPr>
      </w:r>
      <w:r>
        <w:t>: consumer-chip pathway scores are probabilistic; fusion weights must be conservative.</w:t>
      </w:r>
    </w:p>
    <w:p>
      <w:r>
        <w:t xml:space="preserve">4. </w:t>
      </w:r>
      <w:r>
        <w:rPr>
          <w:b/>
        </w:rPr>
      </w:r>
      <w:r>
        <w:t>Hardware data are non-medical-grade</w:t>
      </w:r>
      <w:r>
        <w:rPr>
          <w:b/>
        </w:rPr>
      </w:r>
      <w:r>
        <w:t>: trend-only, diagnostic use prohibited.</w:t>
      </w:r>
    </w:p>
    <w:p>
      <w:r>
        <w:t xml:space="preserve">5. </w:t>
      </w:r>
      <w:r>
        <w:rPr>
          <w:b/>
        </w:rPr>
      </w:r>
      <w:r>
        <w:t>Next steps</w:t>
      </w:r>
      <w:r>
        <w:rPr>
          <w:b/>
        </w:rPr>
      </w:r>
      <w:r>
        <w:t>: (1) preprint first to obtain community feedback; (2) publish the theoretical framework in JIM and similar venues; (3) design "precision fasting / circadian-rhythm" RCTs (see paper outline ③) to validate the fusion judgement; (4) backfill anonymized user data to form "individual vs. group" comparisons.</w:t>
      </w:r>
    </w:p>
    <w:p>
      <w:r>
        <w:t>---</w:t>
      </w:r>
    </w:p>
    <w:p>
      <w:pPr>
        <w:pStyle w:val="Heading1"/>
      </w:pPr>
      <w:r>
        <w:t>10. Conclusion</w:t>
      </w:r>
    </w:p>
    <w:p>
      <w:r>
        <w:t xml:space="preserve">ISSBF provides a </w:t>
      </w:r>
      <w:r>
        <w:rPr>
          <w:b/>
        </w:rPr>
      </w:r>
      <w:r>
        <w:t>computable, verifiable, non-medical</w:t>
      </w:r>
      <w:r>
        <w:rPr>
          <w:b/>
        </w:rPr>
      </w:r>
      <w:r>
        <w:t xml:space="preserve"> theoretical skeleton for "integrating East and West, classical and modern, experience and modern technology." It projects classical experience onto modern measurable pathways through six axioms and eight axes, validates directional correctness with a real-world human evidence base, and achieves continuous verification through the SIIV loop and hardware interfaces. The in-silico computational validation of the fusion engine further shows that the fusion judgement is a reproducible, specific, high-coverage, and auditable method, providing the first layer of empirical evidence for the framework's transition from "text hypothesis" to "testable system." As a decision-support framework, it can become a research and product foundation for personalized non-pharmacological intervention; its overall efficacy awaits prospective validation.</w:t>
      </w:r>
    </w:p>
    <w:p>
      <w:r>
        <w:t>---</w:t>
      </w:r>
    </w:p>
    <w:p>
      <w:pPr>
        <w:pStyle w:val="Heading1"/>
      </w:pPr>
      <w:r>
        <w:t>References</w:t>
      </w:r>
    </w:p>
    <w:p>
      <w:pPr>
        <w:ind w:left="432"/>
      </w:pPr>
      <w:r>
        <w:rPr>
          <w:i/>
          <w:color w:val="555555"/>
          <w:sz w:val="19"/>
        </w:rPr>
        <w:t>Verify each DOI and full text before submission; below are anchored DOIs and journal+year anchors (pending final confirmation).</w:t>
      </w:r>
    </w:p>
    <w:p>
      <w:r>
        <w:t>1. Clinical Nutrition ESPEN 2024. Intermittent fasting upregulates autophagy genes (LAMP2 ×4.2, LC3B ×1.9, ATG5 ×1.4) in 51 adults. doi:10.1016/j.clnesp.2024.11.002</w:t>
      </w:r>
    </w:p>
    <w:p>
      <w:r>
        <w:t>2. Nutrients 2024. 20-day fasting vs TRF in young obese women; AMPK/mTOR non-significant. doi:10.3390/nu17101695</w:t>
      </w:r>
    </w:p>
    <w:p>
      <w:r>
        <w:t>3. Nature Communications 2024. Simulated fasting diet lowers physiological age ~2.5 years over 3 months.</w:t>
      </w:r>
    </w:p>
    <w:p>
      <w:r>
        <w:t>4. Xu M, et al. Nature Medicine 2018. Senolytics (D+Q) clear p16+/p21+ cells −35% in IPF pilot. doi:10.1038/s41591-018-0092-9</w:t>
      </w:r>
    </w:p>
    <w:p>
      <w:r>
        <w:t>5. Justice J, et al. EBioMedicine 2019. Senolytics (D+Q) in idiopathic pulmonary fibrosis; first-in-human pilot (≥70y, n=29); 400 m walk speed improvement p=0.0001. (Frailty trial exact DOI to verify pre-submission.)</w:t>
      </w:r>
    </w:p>
    <w:p>
      <w:r>
        <w:t>6. Kirkland RL, et al. Nature Aging 2024. Senolytics in human aging review.</w:t>
      </w:r>
    </w:p>
    <w:p>
      <w:r>
        <w:t>7. Dote-Montero M, et al. Nature Medicine 2025. Early time-restricted eating improves subcutaneous fat / fasting glucose (n=197). doi:10.1038/s41591-024-03375-y</w:t>
      </w:r>
    </w:p>
    <w:p>
      <w:r>
        <w:t>8. Hepatology 2025. 16:8 eating reduces hepatic fat 23.7% over 4 months (n=333).</w:t>
      </w:r>
    </w:p>
    <w:p>
      <w:r>
        <w:t>9. Cell Metabolism 2024. CGM in 57 adults: 96% postprandial glucose &gt;140 mg/dL. (CASE-010)</w:t>
      </w:r>
    </w:p>
    <w:p>
      <w:r>
        <w:t>10. Chang AM, et al. PNAS 2015. Evening light-emitting eReader suppresses melatonin &gt;55%, phase-delays clock 1.5 h. doi:10.1073/pnas.1418490112</w:t>
      </w:r>
    </w:p>
    <w:p>
      <w:r>
        <w:t>11. Ma J, et al. Sleep Medicine 2020. Morning bright light (10,000 lux, 1 h × 2 wk) improves sleep efficiency (p=0.03) and latency (p=0.03) in 30 disturbed sleepers. doi:10.1016/j.sleep.2020.05.009</w:t>
      </w:r>
    </w:p>
    <w:p>
      <w:r>
        <w:t>12. Wang YY (Wang Yongyan). Kidney-deficiency phlegm-stasis – toxin-damaged luo theory. Academic system of Chinese internal medicine.</w:t>
      </w:r>
    </w:p>
    <w:p>
      <w:r>
        <w:t>13. Journal of Beijing University of Chinese Medicine 2022. Complex-network control-theory mechanism of formulae.</w:t>
      </w:r>
    </w:p>
    <w:p>
      <w:r>
        <w:t>14. Zhang B (Zhang Boli). Systems biology and modernization of Chinese medicine.</w:t>
      </w:r>
    </w:p>
    <w:p>
      <w:r>
        <w:t>15. Little JP, et al. Single session of HIIT increases nuclear PGC-1α within 3 h, new mitochondrial proteins by 24 h; ~2-week adaptation window.</w:t>
      </w:r>
    </w:p>
    <w:p>
      <w:r>
        <w:t>16. China Academy of Information and Communications Technology (CAICT). Brain-Computer Interface Technology and Application Research Report 2025. 80% of enterprises focus on non-invasive; consumer BCI market ~¥5.8B, CAGR 45%+.</w:t>
      </w:r>
    </w:p>
    <w:p>
      <w:r>
        <w:t>17. Huawei HiHealth Kit. Open data types &amp; Extended Health Service Kit (real-time HR, weight/body-fat write-back; App 11.0.0.512+).</w:t>
      </w:r>
    </w:p>
    <w:p>
      <w:r>
        <w:t>---</w:t>
      </w:r>
    </w:p>
    <w:p>
      <w:r>
        <w:rPr>
          <w:i/>
        </w:rPr>
      </w:r>
      <w:r>
        <w:t>This manuscript is a draft theoretical framework intended for preprint first-release and journal submission; all specific interventions must be undertaken under qualified professional guidance, and this paper does not constitute medical advice.</w:t>
      </w:r>
      <w:r>
        <w:rPr>
          <w:i/>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