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jc w:val="center"/>
      </w:pPr>
      <w:r>
        <w:rPr>
          <w:rFonts w:ascii="Times New Roman" w:hAnsi="Times New Roman" w:eastAsia="Times New Roman"/>
          <w:b w:val="0"/>
          <w:i/>
          <w:sz w:val="22"/>
        </w:rPr>
        <w:t>RUNNING HEAD</w:t>
      </w:r>
    </w:p>
    <w:p>
      <w:pPr>
        <w:spacing w:line="360" w:lineRule="auto" w:after="720"/>
        <w:jc w:val="center"/>
      </w:pPr>
      <w:r>
        <w:rPr>
          <w:rFonts w:ascii="Times New Roman" w:hAnsi="Times New Roman" w:eastAsia="Times New Roman"/>
          <w:b w:val="0"/>
          <w:i/>
          <w:sz w:val="22"/>
        </w:rPr>
        <w:t>Integrated Steady-State Biology Framework</w:t>
      </w:r>
    </w:p>
    <w:p>
      <w:pPr>
        <w:spacing w:line="360" w:lineRule="auto" w:after="80"/>
      </w:pPr>
      <w:r>
        <w:rPr>
          <w:rFonts w:ascii="Times New Roman" w:hAnsi="Times New Roman" w:eastAsia="Times New Roman"/>
          <w:b/>
          <w:i w:val="0"/>
          <w:sz w:val="22"/>
        </w:rPr>
        <w:t>Manuscript Type</w:t>
      </w:r>
    </w:p>
    <w:p>
      <w:pPr>
        <w:spacing w:line="360" w:lineRule="auto" w:after="480"/>
      </w:pPr>
      <w:r>
        <w:rPr>
          <w:rFonts w:ascii="Times New Roman" w:hAnsi="Times New Roman" w:eastAsia="Times New Roman"/>
          <w:b w:val="0"/>
          <w:i w:val="0"/>
          <w:sz w:val="24"/>
        </w:rPr>
        <w:t>Original Article</w:t>
      </w:r>
    </w:p>
    <w:p>
      <w:pPr>
        <w:spacing w:line="360" w:lineRule="auto" w:after="80"/>
      </w:pPr>
      <w:r>
        <w:rPr>
          <w:rFonts w:ascii="Times New Roman" w:hAnsi="Times New Roman" w:eastAsia="Times New Roman"/>
          <w:b/>
          <w:i w:val="0"/>
          <w:sz w:val="22"/>
        </w:rPr>
        <w:t>Full Title</w:t>
      </w:r>
    </w:p>
    <w:p>
      <w:pPr>
        <w:spacing w:line="360" w:lineRule="auto" w:after="480"/>
      </w:pPr>
      <w:r>
        <w:rPr>
          <w:rFonts w:ascii="Times New Roman" w:hAnsi="Times New Roman" w:eastAsia="Times New Roman"/>
          <w:b/>
          <w:i w:val="0"/>
          <w:sz w:val="28"/>
        </w:rPr>
        <w:t>An Integrated Steady-State Biology Framework for Non-Pharmacological Longevity Intervention: From Classical-Text and Genome Fusion to Closed-Loop Validation</w:t>
      </w:r>
    </w:p>
    <w:p>
      <w:pPr>
        <w:spacing w:line="360" w:lineRule="auto" w:after="80"/>
      </w:pPr>
      <w:r>
        <w:rPr>
          <w:rFonts w:ascii="Times New Roman" w:hAnsi="Times New Roman" w:eastAsia="Times New Roman"/>
          <w:b/>
          <w:i w:val="0"/>
          <w:sz w:val="22"/>
        </w:rPr>
        <w:t>Authors</w:t>
      </w:r>
    </w:p>
    <w:p>
      <w:pPr>
        <w:spacing w:line="360" w:lineRule="auto" w:after="480"/>
      </w:pPr>
      <w:r>
        <w:rPr>
          <w:rFonts w:ascii="Times New Roman" w:hAnsi="Times New Roman" w:eastAsia="Times New Roman"/>
          <w:b w:val="0"/>
          <w:i w:val="0"/>
          <w:sz w:val="24"/>
        </w:rPr>
        <w:t>Li Xing</w:t>
      </w:r>
      <w:r>
        <w:rPr>
          <w:rFonts w:ascii="Times New Roman" w:hAnsi="Times New Roman" w:eastAsia="Times New Roman"/>
          <w:b w:val="0"/>
          <w:i w:val="0"/>
          <w:sz w:val="24"/>
          <w:vertAlign w:val="superscript"/>
        </w:rPr>
        <w:t>1*</w:t>
      </w:r>
    </w:p>
    <w:p>
      <w:pPr>
        <w:spacing w:line="360" w:lineRule="auto" w:after="80"/>
      </w:pPr>
      <w:r>
        <w:rPr>
          <w:rFonts w:ascii="Times New Roman" w:hAnsi="Times New Roman" w:eastAsia="Times New Roman"/>
          <w:b/>
          <w:i w:val="0"/>
          <w:sz w:val="22"/>
        </w:rPr>
        <w:t>Affiliations</w:t>
      </w:r>
    </w:p>
    <w:p>
      <w:pPr>
        <w:spacing w:line="360" w:lineRule="auto" w:after="480"/>
      </w:pPr>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HealthLens, Independent Research Project, Hangzhou, Zhejiang, China</w:t>
      </w:r>
    </w:p>
    <w:p>
      <w:pPr>
        <w:spacing w:line="360" w:lineRule="auto" w:after="80"/>
      </w:pPr>
      <w:r>
        <w:rPr>
          <w:rFonts w:ascii="Times New Roman" w:hAnsi="Times New Roman" w:eastAsia="Times New Roman"/>
          <w:b/>
          <w:i w:val="0"/>
          <w:sz w:val="22"/>
        </w:rPr>
        <w:t>ORCID iDs</w:t>
      </w:r>
    </w:p>
    <w:p>
      <w:pPr>
        <w:spacing w:line="360" w:lineRule="auto" w:after="480"/>
      </w:pPr>
      <w:r>
        <w:rPr>
          <w:rFonts w:ascii="Times New Roman" w:hAnsi="Times New Roman" w:eastAsia="Times New Roman"/>
          <w:b w:val="0"/>
          <w:i w:val="0"/>
          <w:sz w:val="24"/>
        </w:rPr>
        <w:t>Li Xing: 0009-0004-2152-7669</w:t>
      </w:r>
    </w:p>
    <w:p>
      <w:pPr>
        <w:spacing w:line="360" w:lineRule="auto" w:after="80"/>
      </w:pPr>
      <w:r>
        <w:rPr>
          <w:rFonts w:ascii="Times New Roman" w:hAnsi="Times New Roman" w:eastAsia="Times New Roman"/>
          <w:b/>
          <w:i w:val="0"/>
          <w:sz w:val="22"/>
        </w:rPr>
        <w:t>Corresponding Author</w:t>
      </w:r>
    </w:p>
    <w:p>
      <w:pPr>
        <w:spacing w:line="360" w:lineRule="auto" w:after="40"/>
      </w:pPr>
      <w:r>
        <w:rPr>
          <w:rFonts w:ascii="Times New Roman" w:hAnsi="Times New Roman" w:eastAsia="Times New Roman"/>
          <w:b/>
          <w:i w:val="0"/>
          <w:sz w:val="24"/>
        </w:rPr>
        <w:t>Li Xing</w:t>
      </w:r>
    </w:p>
    <w:p>
      <w:pPr>
        <w:spacing w:line="360" w:lineRule="auto" w:after="40"/>
      </w:pPr>
      <w:r>
        <w:rPr>
          <w:rFonts w:ascii="Times New Roman" w:hAnsi="Times New Roman" w:eastAsia="Times New Roman"/>
          <w:b w:val="0"/>
          <w:i w:val="0"/>
          <w:sz w:val="24"/>
        </w:rPr>
        <w:t>HealthLens, Independent Research Project</w:t>
      </w:r>
    </w:p>
    <w:p>
      <w:pPr>
        <w:spacing w:line="360" w:lineRule="auto" w:after="40"/>
      </w:pPr>
      <w:r>
        <w:rPr>
          <w:rFonts w:ascii="Times New Roman" w:hAnsi="Times New Roman" w:eastAsia="Times New Roman"/>
          <w:b w:val="0"/>
          <w:i w:val="0"/>
          <w:sz w:val="24"/>
        </w:rPr>
        <w:t>Hangzhou, Zhejiang, China</w:t>
      </w:r>
    </w:p>
    <w:p>
      <w:pPr>
        <w:spacing w:line="360" w:lineRule="auto" w:after="40"/>
      </w:pPr>
      <w:r>
        <w:rPr>
          <w:rFonts w:ascii="Times New Roman" w:hAnsi="Times New Roman" w:eastAsia="Times New Roman"/>
          <w:b w:val="0"/>
          <w:i w:val="0"/>
          <w:sz w:val="24"/>
        </w:rPr>
        <w:t>E-mail: corresponding@healthlens.cc</w:t>
      </w:r>
    </w:p>
    <w:p>
      <w:pPr>
        <w:spacing w:line="360" w:lineRule="auto" w:after="40"/>
      </w:pPr>
      <w:r>
        <w:rPr>
          <w:rFonts w:ascii="Times New Roman" w:hAnsi="Times New Roman" w:eastAsia="Times New Roman"/>
          <w:b w:val="0"/>
          <w:i w:val="0"/>
          <w:sz w:val="24"/>
        </w:rPr>
        <w:t>Phone: +86-13738108983</w:t>
      </w:r>
    </w:p>
    <w:p>
      <w:pPr>
        <w:spacing w:line="360" w:lineRule="auto" w:after="480"/>
      </w:pPr>
      <w:r>
        <w:rPr>
          <w:rFonts w:ascii="Times New Roman" w:hAnsi="Times New Roman" w:eastAsia="Times New Roman"/>
          <w:b w:val="0"/>
          <w:i w:val="0"/>
          <w:sz w:val="24"/>
        </w:rPr>
        <w:t>ORCID: 0009-0004-2152-7669</w:t>
      </w:r>
    </w:p>
    <w:p>
      <w:pPr>
        <w:spacing w:line="360" w:lineRule="auto" w:after="80"/>
      </w:pPr>
      <w:r>
        <w:rPr>
          <w:rFonts w:ascii="Times New Roman" w:hAnsi="Times New Roman" w:eastAsia="Times New Roman"/>
          <w:b/>
          <w:i w:val="0"/>
          <w:sz w:val="22"/>
        </w:rPr>
        <w:t>Word count (main text, excluding title page, abstract, references, tables, figure legends):</w:t>
      </w:r>
    </w:p>
    <w:p>
      <w:pPr>
        <w:spacing w:line="360" w:lineRule="auto" w:after="240"/>
      </w:pPr>
      <w:r>
        <w:rPr>
          <w:rFonts w:ascii="Times New Roman" w:hAnsi="Times New Roman" w:eastAsia="Times New Roman"/>
          <w:b w:val="0"/>
          <w:i w:val="0"/>
          <w:sz w:val="24"/>
        </w:rPr>
        <w:t>3683 words (to be finalized after proofreading)</w:t>
      </w:r>
    </w:p>
    <w:p>
      <w:pPr>
        <w:spacing w:line="360" w:lineRule="auto" w:after="480"/>
      </w:pPr>
      <w:r>
        <w:rPr>
          <w:rFonts w:ascii="Times New Roman" w:hAnsi="Times New Roman" w:eastAsia="Times New Roman"/>
          <w:b w:val="0"/>
          <w:i w:val="0"/>
          <w:sz w:val="24"/>
        </w:rPr>
        <w:t>Number of tables: 1   |   Number of figures: 1</w:t>
      </w:r>
    </w:p>
    <w:p>
      <w:pPr>
        <w:spacing w:line="360" w:lineRule="auto" w:after="80"/>
      </w:pPr>
      <w:r>
        <w:rPr>
          <w:rFonts w:ascii="Times New Roman" w:hAnsi="Times New Roman" w:eastAsia="Times New Roman"/>
          <w:b/>
          <w:i/>
          <w:sz w:val="22"/>
        </w:rPr>
        <w:t>Disclaimer (non-medical)</w:t>
      </w:r>
    </w:p>
    <w:p>
      <w:pPr>
        <w:spacing w:line="360" w:lineRule="auto" w:after="240"/>
      </w:pPr>
      <w:r>
        <w:rPr>
          <w:rFonts w:ascii="Times New Roman" w:hAnsi="Times New Roman" w:eastAsia="Times New Roman"/>
          <w:b w:val="0"/>
          <w:i/>
          <w:sz w:val="22"/>
        </w:rPr>
        <w:t>This paper proposes a theoretical framework and a decision-support paradigm for ranking intervention priorities. It is not a clinical diagnosis or treatment protocol and does not replace physician judgement; all specific interventions must be undertaken under the guidance of qualified professionals. Human evidence cited herein is used to validate the framework and does not constitute individualized medical advice.</w:t>
      </w:r>
    </w:p>
    <w:p>
      <w:r>
        <w:br w:type="page"/>
      </w:r>
    </w:p>
    <w:p>
      <w:pPr>
        <w:spacing w:line="360" w:lineRule="auto" w:after="240"/>
        <w:jc w:val="center"/>
      </w:pPr>
      <w:r>
        <w:rPr>
          <w:rFonts w:ascii="Times New Roman" w:hAnsi="Times New Roman" w:eastAsia="Times New Roman"/>
          <w:b/>
          <w:i w:val="0"/>
          <w:sz w:val="24"/>
        </w:rPr>
        <w:t>ABSTRACT</w:t>
      </w:r>
    </w:p>
    <w:p>
      <w:pPr>
        <w:spacing w:line="360" w:lineRule="auto" w:after="120"/>
      </w:pPr>
      <w:r>
        <w:rPr>
          <w:rFonts w:ascii="Times New Roman" w:hAnsi="Times New Roman" w:eastAsia="Times New Roman"/>
          <w:b/>
          <w:i w:val="0"/>
          <w:sz w:val="24"/>
        </w:rPr>
        <w:t xml:space="preserve">Background: </w:t>
      </w:r>
      <w:r>
        <w:rPr>
          <w:rFonts w:ascii="Times New Roman" w:hAnsi="Times New Roman" w:eastAsia="Times New Roman"/>
          <w:b w:val="0"/>
          <w:i w:val="0"/>
          <w:sz w:val="24"/>
        </w:rPr>
        <w:t>Traditional Chinese medicine has accumulated millennia of experiential knowledge on homeostatic regulation, while modern aging biology has identified measurable homeostatic pathways including autophagy, mitochondrial biogenesis, senescent-cell clearance, and circadian rhythm. These two knowledge systems have long run in parallel without a computable unifying framework.</w:t>
      </w:r>
    </w:p>
    <w:p>
      <w:pPr>
        <w:spacing w:line="360" w:lineRule="auto" w:after="120"/>
      </w:pPr>
      <w:r>
        <w:rPr>
          <w:rFonts w:ascii="Times New Roman" w:hAnsi="Times New Roman" w:eastAsia="Times New Roman"/>
          <w:b/>
          <w:i w:val="0"/>
          <w:sz w:val="24"/>
        </w:rPr>
        <w:t xml:space="preserve">Methods: </w:t>
      </w:r>
      <w:r>
        <w:rPr>
          <w:rFonts w:ascii="Times New Roman" w:hAnsi="Times New Roman" w:eastAsia="Times New Roman"/>
          <w:b w:val="0"/>
          <w:i w:val="0"/>
          <w:sz w:val="24"/>
        </w:rPr>
        <w:t>We propose the Integrated Steady-State Biology Framework (ISSBF). Six paradigm axioms constrain the design; classical constructs are axiomatically mapped onto ten measurable steady-state biology axes; a fusion rule intersects classical candidates with individual genetic-weakness pathways; and a Sense-Infer-Intervene-Verify closed loop drives continuous verification. A stratified case evidence base (n=120; 7 Crossref-verified + 8 traditional + 14 unverified + 91 synthetic_validation, the latter held at a separate S weight and excluded from L1-L3 grades) anchors the axes empirically. We conducted in-silico validation with 22 synthetic profiles.</w:t>
      </w:r>
    </w:p>
    <w:p>
      <w:pPr>
        <w:spacing w:line="360" w:lineRule="auto" w:after="120"/>
      </w:pPr>
      <w:r>
        <w:rPr>
          <w:rFonts w:ascii="Times New Roman" w:hAnsi="Times New Roman" w:eastAsia="Times New Roman"/>
          <w:b/>
          <w:i w:val="0"/>
          <w:sz w:val="24"/>
        </w:rPr>
        <w:t>Results: Each of the initial eight axes anchors to a modern mechanism and human evidence (4-week fasting raised LAMP2 4.2-fold; time-restricted eating reduced hepatic fat 25.8% in a 333-person randomized controlled trial; dasatinib plus quercetin reduced p16-positive senescent cells 35% in a first-in-human pilot (9 diabetic kidney disease patients), and a 60-person Phase II RCT in postmenopausal women (aged 62-88) produced a subtle, time-limited elevation of the bone formation marker but no clear effect on bone degradation). Computational validation yielded 100% dual-run reproducibility, 100% weakness-profile coverage, 75% L1-grade coverage under the evidence gate (91 synthetic entries excluded from L1-L3), zero personalized recommendations for control profiles, and 88% domain-expectation concordance with an author-encoded traditional-medicine keyword dictionary used only as an exploratory content-validity proxy.</w:t>
      </w:r>
      <w:r>
        <w:rPr>
          <w:rFonts w:ascii="Times New Roman" w:hAnsi="Times New Roman" w:eastAsia="Times New Roman"/>
          <w:b w:val="0"/>
          <w:i w:val="0"/>
          <w:sz w:val="24"/>
        </w:rPr>
      </w:r>
    </w:p>
    <w:p>
      <w:pPr>
        <w:spacing w:line="360" w:lineRule="auto" w:after="240"/>
      </w:pPr>
      <w:r>
        <w:rPr>
          <w:rFonts w:ascii="Times New Roman" w:hAnsi="Times New Roman" w:eastAsia="Times New Roman"/>
          <w:b/>
          <w:i w:val="0"/>
          <w:sz w:val="24"/>
        </w:rPr>
        <w:t xml:space="preserve">Conclusion: </w:t>
      </w:r>
      <w:r>
        <w:rPr>
          <w:rFonts w:ascii="Times New Roman" w:hAnsi="Times New Roman" w:eastAsia="Times New Roman"/>
          <w:b w:val="0"/>
          <w:i w:val="0"/>
          <w:sz w:val="24"/>
        </w:rPr>
        <w:t>ISSBF provides a computable, verifiable, non-medical theoretical skeleton for integrating classical and modern medicine. It can serve as a decision-support foundation for personalized non-pharmacological intervention; prospective validation of the framework as a whole is required.</w:t>
      </w:r>
    </w:p>
    <w:p>
      <w:pPr>
        <w:spacing w:line="360" w:lineRule="auto" w:after="480"/>
      </w:pPr>
      <w:r>
        <w:rPr>
          <w:rFonts w:ascii="Times New Roman" w:hAnsi="Times New Roman" w:eastAsia="Times New Roman"/>
          <w:b w:val="0"/>
          <w:i w:val="0"/>
          <w:sz w:val="24"/>
        </w:rPr>
        <w:t>Keywords: integrative medicine; homeostasis; autophagy; mitochondria; circadian rhythm; personalized non-pharmacological intervention; closed-loop validation</w:t>
      </w:r>
    </w:p>
    <w:p>
      <w:pPr>
        <w:spacing w:line="360" w:lineRule="auto" w:before="240" w:after="120"/>
      </w:pPr>
      <w:r>
        <w:rPr>
          <w:rFonts w:ascii="Times New Roman" w:hAnsi="Times New Roman" w:eastAsia="Times New Roman"/>
          <w:b/>
          <w:i w:val="0"/>
          <w:sz w:val="26"/>
        </w:rPr>
        <w:t>1. Introduction</w:t>
      </w:r>
    </w:p>
    <w:p>
      <w:pPr>
        <w:spacing w:line="360" w:lineRule="auto"/>
        <w:ind w:firstLine="720"/>
      </w:pPr>
      <w:r>
        <w:rPr>
          <w:rFonts w:ascii="Times New Roman" w:hAnsi="Times New Roman" w:eastAsia="Times New Roman"/>
          <w:b w:val="0"/>
          <w:i w:val="0"/>
          <w:sz w:val="24"/>
        </w:rPr>
        <w:t>Global population aging has made the extension of healthspan a central medical objective. Over the past decade, modern aging biology has established several quantifiable, intervenable homeostatic pathways: autophagy via the AMPK/mTOR axis, mitochondrial biogenesis via PGC-1α and SIRT1, senescent-cell clearance via senolytic drug combinations, the stem-cell niche, and the circadian CLOCK/BMAL1 oscillator [1,2]. In parallel, traditional medicine—particularly Chinese medicine—has preserved centuries of non-pharmacological homeostatic-regulation practice, including daoyin (guided movement), fasting, food-as-medicine, emotional regulation, and rhythmic living, through constructs such as qi, xue (blood), zang-fu organs, yin-yang polarity, zheng-xie (pathogenic balance), and shen (mind-spirit) [3,4].</w:t>
      </w:r>
    </w:p>
    <w:p>
      <w:pPr>
        <w:spacing w:line="360" w:lineRule="auto"/>
        <w:ind w:firstLine="720"/>
      </w:pPr>
      <w:r>
        <w:rPr>
          <w:rFonts w:ascii="Times New Roman" w:hAnsi="Times New Roman" w:eastAsia="Times New Roman"/>
          <w:b w:val="0"/>
          <w:i w:val="0"/>
          <w:sz w:val="24"/>
        </w:rPr>
        <w:t>The two systems exhibit structural complementarity. Traditional medicine supplies experiential priors of when and for which constitution to regulate what, whereas modern biology supplies mechanistic evidence that regulation actually changed a given measurable pathway. Yet the two have long lacked a unified computable language: classical constructs are mostly not directly measurable, and modern pathways are mostly divorced from individual-constitution context.</w:t>
      </w:r>
    </w:p>
    <w:p>
      <w:pPr>
        <w:spacing w:line="360" w:lineRule="auto"/>
        <w:ind w:firstLine="720"/>
      </w:pPr>
      <w:r>
        <w:rPr>
          <w:rFonts w:ascii="Times New Roman" w:hAnsi="Times New Roman" w:eastAsia="Times New Roman"/>
          <w:b w:val="0"/>
          <w:i w:val="0"/>
          <w:sz w:val="24"/>
        </w:rPr>
        <w:t>The present study proposes the Integrated Steady-State Biology Framework (ISSBF), designed to (1) axiomatically map classical constructs onto ten measurable steady-state biology axes, (2) realize personalized weighting by intersecting classical candidates with individual genetic-weakness pathways, (3) anchor the framework on a curated real-world human-evidence base, and (4) achieve continuous verification through a Sense-Infer-Intervene-Verify (SIIV) closed loop with defined hardware data interfaces. Three non-negotiable red lines constrain the framework: mechanisms must anchor to measurable pathways (empty phrases such as "repair cells" are prohibited), classical texts are not molecular evidence, and non-pharmacological does not mean risk-free. This framework is a decision-support paradigm, not a clinical protocol.</w:t>
      </w:r>
    </w:p>
    <w:p>
      <w:pPr>
        <w:spacing w:line="360" w:lineRule="auto" w:before="240" w:after="120"/>
      </w:pPr>
      <w:r>
        <w:rPr>
          <w:rFonts w:ascii="Times New Roman" w:hAnsi="Times New Roman" w:eastAsia="Times New Roman"/>
          <w:b/>
          <w:i w:val="0"/>
          <w:sz w:val="26"/>
        </w:rPr>
        <w:t>2. Methods</w:t>
      </w:r>
    </w:p>
    <w:p>
      <w:pPr>
        <w:spacing w:line="360" w:lineRule="auto" w:before="240" w:after="120"/>
      </w:pPr>
      <w:r>
        <w:rPr>
          <w:rFonts w:ascii="Times New Roman" w:hAnsi="Times New Roman" w:eastAsia="Times New Roman"/>
          <w:b/>
          <w:i w:val="0"/>
          <w:sz w:val="24"/>
        </w:rPr>
        <w:t>2.1 Paradigm axioms</w:t>
      </w:r>
    </w:p>
    <w:p>
      <w:pPr>
        <w:spacing w:line="360" w:lineRule="auto"/>
        <w:ind w:firstLine="720"/>
      </w:pPr>
      <w:r>
        <w:rPr>
          <w:rFonts w:ascii="Times New Roman" w:hAnsi="Times New Roman" w:eastAsia="Times New Roman"/>
          <w:b w:val="0"/>
          <w:i w:val="0"/>
          <w:sz w:val="24"/>
        </w:rPr>
        <w:t>The framework is constrained by six inviolable axioms. A1 Homeostasis-first: the intervention target is to maintain or restore measurable steady-state axes rather than to chase an extreme of a single metric. A2 Measure-to-intervene: any recommended mechanism must map to a quantifiable biomarker (genetic, proteomic, metabolic, or wearable). A3 Personalized weighting: recommendation strength is determined by the intersection of a classical candidate with an individual genetic-weakness pathway; single-SNP decisions are prohibited. A4 Closed-loop verification: inferences must be verifiable by post-intervention re-measurement via the SIIV loop. A5 Hormesis boundary: most effective interventions follow an inverted-U dose–response; safe ranges and contraindications must be explicitly stated. A6 Fallibility of experience: classical experiential knowledge is treated as a falsifiable hypothesis, not endowed with molecular-level certainty.</w:t>
      </w:r>
    </w:p>
    <w:p>
      <w:pPr>
        <w:spacing w:line="360" w:lineRule="auto" w:before="240" w:after="120"/>
      </w:pPr>
      <w:r>
        <w:rPr>
          <w:rFonts w:ascii="Times New Roman" w:hAnsi="Times New Roman" w:eastAsia="Times New Roman"/>
          <w:b/>
          <w:i w:val="0"/>
          <w:sz w:val="24"/>
        </w:rPr>
        <w:t>2.2 Ten steady-state biology axes</w:t>
      </w:r>
    </w:p>
    <w:p>
      <w:pPr>
        <w:spacing w:line="360" w:lineRule="auto"/>
        <w:ind w:firstLine="720"/>
      </w:pPr>
      <w:r>
        <w:rPr>
          <w:rFonts w:ascii="Times New Roman" w:hAnsi="Times New Roman" w:eastAsia="Times New Roman"/>
          <w:b w:val="0"/>
          <w:i w:val="0"/>
          <w:sz w:val="24"/>
        </w:rPr>
        <w:t>Each axis maps a classical construct onto a modern measurable pathway and anchors evidence (Figure 1). Eight axes (A through H) were defined in the initial framework and passed all validation criteria reported in Section 3; two additional axes (I: exosomal intercellular signaling, J: regenerative medicine) were added on the basis of recent evidence and require independent computational validation. The mapping philosophy is that classical constructs are projected as experiential priors onto axes and are then upgraded or vetoed by modern mechanism and human evidence; the classical text itself is never treated as molecular proof.</w:t>
      </w:r>
    </w:p>
    <w:p>
      <w:pPr>
        <w:spacing w:line="360" w:lineRule="auto" w:before="240" w:after="120"/>
      </w:pPr>
      <w:r>
        <w:rPr>
          <w:rFonts w:ascii="Times New Roman" w:hAnsi="Times New Roman" w:eastAsia="Times New Roman"/>
          <w:b/>
          <w:i w:val="0"/>
          <w:sz w:val="24"/>
        </w:rPr>
        <w:t>2.3 Fusion methodology</w:t>
      </w:r>
    </w:p>
    <w:p>
      <w:pPr>
        <w:spacing w:line="360" w:lineRule="auto"/>
        <w:ind w:firstLine="720"/>
      </w:pPr>
      <w:r>
        <w:rPr>
          <w:rFonts w:ascii="Times New Roman" w:hAnsi="Times New Roman" w:eastAsia="Times New Roman"/>
          <w:b w:val="0"/>
          <w:i w:val="0"/>
          <w:sz w:val="24"/>
        </w:rPr>
        <w:t>Given a user's genetic or omics panel expressed as pathway-level aggregated scores (SNP-level conclusions prohibited) and a set of classical-candidate hits, the fusion engine executes five steps. First, mechanism mapping: each classical candidate is mapped to a modern pathway label. Second, personalized weighting: only the intersection of the classical candidate and the genetic-weakness pathway (weakness defined as pathway score &lt; 0.5) is retained; a larger intersection yields higher weight. Third, evidence grading: each candidate is tagged L1 (RCT or large cohort) through L4 (classical text only). Fourth, output: each recommendation carries seven fields—target pathway, classical source, genetic relevance, evidence level, contraindication, monitoring metric, and actionable prescription. Fifth, safety gate: contraindication auto-exclusion, a mandatory non-medical disclaimer, and a high-intervention human-approval gate.</w:t>
      </w:r>
    </w:p>
    <w:p>
      <w:pPr>
        <w:spacing w:line="360" w:lineRule="auto"/>
        <w:ind w:firstLine="720"/>
      </w:pPr>
      <w:r>
        <w:rPr>
          <w:rFonts w:ascii="Times New Roman" w:hAnsi="Times New Roman" w:eastAsia="Times New Roman"/>
          <w:b w:val="0"/>
          <w:i w:val="0"/>
          <w:sz w:val="24"/>
        </w:rPr>
        <w:t>Key constraints include: a classical experience without a genetic intersection is downgraded to a general suggestion; absence of genetic data or human evidence forces an explicit demonstration banner; and every conclusion must trace to at least one of mechanism literature, classical original text, or user genetic evidence.</w:t>
      </w:r>
    </w:p>
    <w:p>
      <w:pPr>
        <w:spacing w:line="360" w:lineRule="auto" w:before="240" w:after="120"/>
      </w:pPr>
      <w:r>
        <w:rPr>
          <w:rFonts w:ascii="Times New Roman" w:hAnsi="Times New Roman" w:eastAsia="Times New Roman"/>
          <w:b/>
          <w:i w:val="0"/>
          <w:sz w:val="24"/>
        </w:rPr>
        <w:t>2.4 In-silico validation design</w:t>
      </w:r>
    </w:p>
    <w:p>
      <w:pPr>
        <w:spacing w:line="360" w:lineRule="auto"/>
        <w:ind w:firstLine="720"/>
      </w:pPr>
      <w:r>
        <w:rPr>
          <w:rFonts w:ascii="Times New Roman" w:hAnsi="Times New Roman" w:eastAsia="Times New Roman"/>
          <w:b w:val="0"/>
          <w:i w:val="0"/>
          <w:sz w:val="24"/>
        </w:rPr>
        <w:t>To demonstrate that the fusion rule is a computable and auditable method, we conducted in-silico validation on 22 synthetic user profiles: 20 weakness profiles each activating a distinct subset of pathway weaknesses, and 2 control profiles with all pathway scores above 0.9. The engine was executed twice per profile to measure dual-run reproducibility; control profiles were used as specificity probes; the case library supplied evidence-grade coverage; and convergent validity was measured against domain expectations compiled by the author from TCM textbooks.</w:t>
      </w:r>
    </w:p>
    <w:p>
      <w:pPr>
        <w:spacing w:line="360" w:lineRule="auto"/>
        <w:ind w:firstLine="720"/>
      </w:pPr>
      <w:r>
        <w:rPr>
          <w:rFonts w:ascii="Times New Roman" w:hAnsi="Times New Roman" w:eastAsia="Times New Roman"/>
          <w:b w:val="0"/>
          <w:i w:val="0"/>
          <w:sz w:val="24"/>
        </w:rPr>
        <w:t>All inputs were synthetic pathway-level scores; no real human genomic data were used. The validation tests the engine logic itself (reproducibility, specificity, coverage, and validity) and does not claim the human efficacy of the recommended interventions. Full validation code and outputs are provided as open-source supplementary material.</w:t>
      </w:r>
    </w:p>
    <w:p>
      <w:pPr>
        <w:spacing w:line="360" w:lineRule="auto" w:before="240" w:after="120"/>
      </w:pPr>
      <w:r>
        <w:rPr>
          <w:rFonts w:ascii="Times New Roman" w:hAnsi="Times New Roman" w:eastAsia="Times New Roman"/>
          <w:b/>
          <w:i w:val="0"/>
          <w:sz w:val="26"/>
        </w:rPr>
        <w:t>3. Results</w:t>
      </w:r>
    </w:p>
    <w:p>
      <w:pPr>
        <w:spacing w:line="360" w:lineRule="auto" w:before="240" w:after="120"/>
      </w:pPr>
      <w:r>
        <w:rPr>
          <w:rFonts w:ascii="Times New Roman" w:hAnsi="Times New Roman" w:eastAsia="Times New Roman"/>
          <w:b/>
          <w:i w:val="0"/>
          <w:sz w:val="24"/>
        </w:rPr>
        <w:t>3.1 Case evidence base: stratified by verification status (n = 120)</w:t>
      </w:r>
    </w:p>
    <w:p>
      <w:pPr>
        <w:spacing w:line="360" w:lineRule="auto"/>
        <w:ind w:firstLine="720"/>
      </w:pPr>
      <w:r>
        <w:rPr>
          <w:rFonts w:ascii="Times New Roman" w:hAnsi="Times New Roman" w:eastAsia="Times New Roman"/>
          <w:b w:val="0"/>
          <w:i w:val="0"/>
          <w:sz w:val="24"/>
        </w:rPr>
        <w:t>We curated a machine-readable case library (case_evidence_db.json) of 120 entries, disclosed by verification status: 7 Crossref-verified human-trial or classical-experience entries, 8 traditional-text entries, 14 unverified_no_publication entries (not citable as evidence grades), and 91 synthetic_validation entries used only as fusion-logic test fixtures and held at a separate S weight. Under the evidence gate, only the 7 verified entries contribute to L1-L3 grade counts. Representative entries are listed in Table 1. The library demonstrates that each of the initial eight axes anchors to at least one high-grade human trial or classical source: axis A (gasification / autophagy) is anchored by a prospective study showing LAMP2 upregulation 4.2-fold and LC3B 1.9-fold after 4-week dawn-to-dusk fasting [1]; axis C (luo-network / stasis) is anchored by a first-in-human senolytic pilot [5,7] and a Phase II RCT [18] in postmenopausal women, where we explicitly grade the Phase II as 'subtle effect' rather than overclaiming benefit - demonstrating that ISSBF preserves null results and calibrates evidence grade to the actual data, not the hypothesis; axis D (yin-yang / circadian) is anchored by two recent Nature Medicine and Journal of Hepatology randomized controlled trials of time-restricted eating; axis H (congenital / epigenetic) is anchored by a fasting-mimicking-diet randomized trial showing a 2.5-year reduction in biological age and a 2026 Centenarian cohort study of CD4 CTL expansion [3].</w:t>
      </w:r>
    </w:p>
    <w:p>
      <w:pPr>
        <w:spacing w:line="360" w:lineRule="auto" w:before="240" w:after="120"/>
      </w:pPr>
      <w:r>
        <w:rPr>
          <w:rFonts w:ascii="Times New Roman" w:hAnsi="Times New Roman" w:eastAsia="Times New Roman"/>
          <w:b/>
          <w:i w:val="0"/>
          <w:sz w:val="24"/>
        </w:rPr>
        <w:t>3.2 Computational validation</w:t>
      </w:r>
    </w:p>
    <w:p>
      <w:pPr>
        <w:spacing w:line="360" w:lineRule="auto"/>
        <w:ind w:firstLine="720"/>
      </w:pPr>
      <w:r>
        <w:rPr>
          <w:rFonts w:ascii="Times New Roman" w:hAnsi="Times New Roman" w:eastAsia="Times New Roman"/>
          <w:b w:val="0"/>
          <w:i w:val="0"/>
          <w:sz w:val="24"/>
        </w:rPr>
        <w:t>Dual-run agreement across all 22 synthetic profiles was 100% (0 disagreements), confirming deterministic behavior. The mean number of personalized recommendations per weakness profile was 5.95, and the mean for control profiles was 0.0, demonstrating that the intersection logic responds to real input rather than emitting indiscriminately. Weakness-profile coverage (at least one personalized recommendation produced) was 100%, and 90% of weakness profiles received at least one L1-grade recommendation. Convergent validity against domain expectations was 85%. A contraindication rule correctly excluded one recommendation (CASE-017, weak F+D plus pregnancy flag).</w:t>
      </w:r>
    </w:p>
    <w:p>
      <w:pPr>
        <w:spacing w:line="360" w:lineRule="auto"/>
        <w:ind w:firstLine="720"/>
      </w:pPr>
      <w:r>
        <w:rPr>
          <w:rFonts w:ascii="Times New Roman" w:hAnsi="Times New Roman" w:eastAsia="Times New Roman"/>
          <w:b w:val="0"/>
          <w:i w:val="0"/>
          <w:sz w:val="24"/>
        </w:rPr>
        <w:t>Axis activation counts across the 20 weakness profiles were A=4, B=5, C=4, D=5, E=3, F=5, G=4, H=3—no axis collapsed to zero activation. The overall personalized recommendation pool comprised 119 recommendations, of which L1 = 47 (39%), L2 = 46 (39%), and L3 = 26 (22%); approximately 80% of personalized recommendations were supported by RCT or large-cohort-level (L1+L2) evidence.</w:t>
      </w:r>
    </w:p>
    <w:p>
      <w:pPr>
        <w:spacing w:line="360" w:lineRule="auto" w:before="240" w:after="120"/>
      </w:pPr>
      <w:r>
        <w:rPr>
          <w:rFonts w:ascii="Times New Roman" w:hAnsi="Times New Roman" w:eastAsia="Times New Roman"/>
          <w:b/>
          <w:i w:val="0"/>
          <w:sz w:val="24"/>
        </w:rPr>
        <w:t>3.3 Closed-loop verification (SIIV)</w:t>
      </w:r>
    </w:p>
    <w:p>
      <w:pPr>
        <w:spacing w:line="360" w:lineRule="auto"/>
        <w:ind w:firstLine="720"/>
      </w:pPr>
      <w:r>
        <w:rPr>
          <w:rFonts w:ascii="Times New Roman" w:hAnsi="Times New Roman" w:eastAsia="Times New Roman"/>
          <w:b w:val="0"/>
          <w:i w:val="0"/>
          <w:sz w:val="24"/>
        </w:rPr>
        <w:t>The SIIV loop (Sense → Infer → Intervene → Verify) is realized through four defined data interfaces. Sense draws from consumer-grade wearable data (heart-rate variability, sleep stages), continuous glucose monitors (postprandial drift), and brain–computer-interface-derived electroencephalogram features. Infer computes ten-axis homeostasis scores and intersects with the individual genetic-weakness map. Intervene produces non-pharmacological suggestions—daoyin-style movement, fasting protocols, food-as-medicine selection, circadian rhythm adjustments, and affective-regulation exercises—each tagged with contraindications and monitoring metrics. Verify re-measures axis markers and updates personalized weights.</w:t>
      </w:r>
    </w:p>
    <w:p>
      <w:pPr>
        <w:spacing w:line="360" w:lineRule="auto"/>
        <w:ind w:firstLine="720"/>
      </w:pPr>
      <w:r>
        <w:rPr>
          <w:rFonts w:ascii="Times New Roman" w:hAnsi="Times New Roman" w:eastAsia="Times New Roman"/>
          <w:b w:val="0"/>
          <w:i w:val="0"/>
          <w:sz w:val="24"/>
        </w:rPr>
        <w:t>This loop turns the theory from a text hypothesis into a measurable, falsifiable living system. Hardware data are explicitly restricted to trend-only use and are not diagnostic.</w:t>
      </w:r>
    </w:p>
    <w:p>
      <w:pPr>
        <w:spacing w:line="360" w:lineRule="auto" w:before="240" w:after="120"/>
      </w:pPr>
      <w:r>
        <w:rPr>
          <w:rFonts w:ascii="Times New Roman" w:hAnsi="Times New Roman" w:eastAsia="Times New Roman"/>
          <w:b/>
          <w:i w:val="0"/>
          <w:sz w:val="26"/>
        </w:rPr>
        <w:t>4. Discussion</w:t>
      </w:r>
    </w:p>
    <w:p>
      <w:pPr>
        <w:spacing w:line="360" w:lineRule="auto" w:before="240" w:after="120"/>
      </w:pPr>
      <w:r>
        <w:rPr>
          <w:rFonts w:ascii="Times New Roman" w:hAnsi="Times New Roman" w:eastAsia="Times New Roman"/>
          <w:b/>
          <w:i w:val="0"/>
          <w:sz w:val="24"/>
        </w:rPr>
        <w:t>4.1 Novelty and dialogue with existing paradigms</w:t>
      </w:r>
    </w:p>
    <w:p>
      <w:pPr>
        <w:spacing w:line="360" w:lineRule="auto"/>
        <w:ind w:firstLine="720"/>
      </w:pPr>
      <w:r>
        <w:rPr>
          <w:rFonts w:ascii="Times New Roman" w:hAnsi="Times New Roman" w:eastAsia="Times New Roman"/>
          <w:b w:val="0"/>
          <w:i w:val="0"/>
          <w:sz w:val="24"/>
        </w:rPr>
        <w:t>Relative to network medicine [6], ISSBF adds a non-molecular node: the classical experiential prior, projected as the initial weight of an axis rather than inferred solely from molecular interaction networks. Relative to hormesis theory, the framework writes the inverted-U dose–response into axiom A5, avoiding the more-is-better fallacy. Relative to systems-biology Chinese medicine [3,4], ISSBF maps luo-network and phlegm-stasis to axis C (senolytics) and adds a quantifiable closed-loop verification layer, descending from formula-level to individual-executable micro-interventions. Relative to chronobiology, axis D anchors the construct of regular routine and evening-light avoidance to the measurable melatonin–suprachiasmatic nucleus loop. Relative to recent foundation-model approaches in AI drug discovery (C2S-Scale) [23], which perform conditional reasoning so that drugs are effective only in specific biological contexts, ISSBF applies the same conditional-reasoning method to non-pharmacological interventions: classical candidates are weighted only when they match a user's genetic-weakness profile. Both reject one-size-fits-all advice and require biological context for efficacy. Relative to recent genomic language models such as GeneLLM and BioFord [24], which treat raw sequencing or the laboratory itself as programmable AI infrastructure, ISSBF borrows the insight that classical texts can be treated as traditional-medicine language tokens, the ten-axis mapping is the translation layer between classical and modern biology, and the SIIV loop is a learnable experimental flywheel.</w:t>
      </w:r>
    </w:p>
    <w:p>
      <w:pPr>
        <w:spacing w:line="360" w:lineRule="auto"/>
        <w:ind w:firstLine="720"/>
      </w:pPr>
      <w:r>
        <w:rPr>
          <w:rFonts w:ascii="Times New Roman" w:hAnsi="Times New Roman" w:eastAsia="Times New Roman"/>
          <w:b w:val="0"/>
          <w:i w:val="0"/>
          <w:sz w:val="24"/>
        </w:rPr>
        <w:t>The core increments of the present study are: (1) a computable mapping from classical constructs to ten measurable steady-state biology axes, (2) an intersection fusion of classical candidate and individual genetic weakness, (3) a SIIV closed-loop design with defined hardware data interfaces, and (4) an auditable in-silico validation demonstrating reproducibility, specificity, coverage, and convergent validity of the fusion logic. The framework does not claim any new molecular mechanism and does not exceed the boundaries of known biology; it is a meta-framework for integration and prioritization.</w:t>
      </w:r>
    </w:p>
    <w:p>
      <w:pPr>
        <w:spacing w:line="360" w:lineRule="auto" w:before="240" w:after="120"/>
      </w:pPr>
      <w:r>
        <w:rPr>
          <w:rFonts w:ascii="Times New Roman" w:hAnsi="Times New Roman" w:eastAsia="Times New Roman"/>
          <w:b/>
          <w:i w:val="0"/>
          <w:sz w:val="24"/>
        </w:rPr>
        <w:t>4.2 Limitations</w:t>
      </w:r>
    </w:p>
    <w:p>
      <w:pPr>
        <w:spacing w:line="360" w:lineRule="auto"/>
        <w:ind w:firstLine="720"/>
      </w:pPr>
      <w:r>
        <w:rPr>
          <w:rFonts w:ascii="Times New Roman" w:hAnsi="Times New Roman" w:eastAsia="Times New Roman"/>
          <w:b w:val="0"/>
          <w:i w:val="0"/>
          <w:sz w:val="24"/>
        </w:rPr>
        <w:t>Several limitations constrain the interpretation of the present study. First, the framework as a whole is not yet frontally validated by a single randomized trial; individual axes have supporting evidence, but the superiority of the fusion judgement over expert experience or a single-omics approach remains to be proven. Second, the subjectivity of classical-to-axis projection is unresolved and requires calibration by an independent expert Delphi panel and quantitative text mining. Third, the effect size at the consumer-gene-panel level is small and probabilistic; fusion weights must therefore be conservative. Fourth, hardware data are non-medical-grade and used for trend analysis only; diagnostic use is prohibited. Fifth, senolytic drugs such as dasatinib plus quercetin serve as mechanistic anchors for axis C evidence but are prescription medications; the framework restricts personalized recommendations to non-pharmacological interventions (for example, dietary quercetin from food sources) and requires a high-intervention human-approval gate for any pharmacological candidate. Sixth, axes I and J were added after the initial validation and require independent computational and human validation.</w:t>
      </w:r>
    </w:p>
    <w:p>
      <w:pPr>
        <w:spacing w:line="360" w:lineRule="auto" w:before="240" w:after="120"/>
      </w:pPr>
      <w:r>
        <w:rPr>
          <w:rFonts w:ascii="Times New Roman" w:hAnsi="Times New Roman" w:eastAsia="Times New Roman"/>
          <w:b/>
          <w:i w:val="0"/>
          <w:sz w:val="24"/>
        </w:rPr>
        <w:t>4.3 Future directions</w:t>
      </w:r>
    </w:p>
    <w:p>
      <w:pPr>
        <w:spacing w:line="360" w:lineRule="auto"/>
        <w:ind w:firstLine="720"/>
      </w:pPr>
      <w:r>
        <w:rPr>
          <w:rFonts w:ascii="Times New Roman" w:hAnsi="Times New Roman" w:eastAsia="Times New Roman"/>
          <w:b w:val="0"/>
          <w:i w:val="0"/>
          <w:sz w:val="24"/>
        </w:rPr>
        <w:t>The planned sequence of validation is: (i) preprint registration to secure priority; (ii) publication of the theoretical framework as presented here; (iii) independent expert Delphi calibration of the classical-to-axis projection with quantitative text-mining reproducibility checks; (iv) design and execution of randomized controlled trials of precision fasting and circadian-rhythm interventions to test whether the fusion judgement outperforms an expert-experience control; and (v) backfill of anonymized user data from real-world deployment to further calibrate the SIIV loop. Axes I and J will be validated in a follow-up study once exosome and regenerative-medicine evidence is more established.</w:t>
      </w:r>
    </w:p>
    <w:p>
      <w:pPr>
        <w:spacing w:line="360" w:lineRule="auto" w:before="240" w:after="120"/>
      </w:pPr>
      <w:r>
        <w:rPr>
          <w:rFonts w:ascii="Times New Roman" w:hAnsi="Times New Roman" w:eastAsia="Times New Roman"/>
          <w:b/>
          <w:i w:val="0"/>
          <w:sz w:val="24"/>
        </w:rPr>
        <w:t>4.4 Conclusion</w:t>
      </w:r>
    </w:p>
    <w:p>
      <w:pPr>
        <w:spacing w:line="360" w:lineRule="auto"/>
        <w:ind w:firstLine="720"/>
      </w:pPr>
      <w:r>
        <w:rPr>
          <w:rFonts w:ascii="Times New Roman" w:hAnsi="Times New Roman" w:eastAsia="Times New Roman"/>
          <w:b w:val="0"/>
          <w:i w:val="0"/>
          <w:sz w:val="24"/>
        </w:rPr>
        <w:t>ISSBF provides a computable, verifiable, non-medical theoretical skeleton for integrating classical and modern medicine. Six paradigm axioms constrain the design; ten steady-state biology axes project classical experience onto modern measurable pathways; a stratified case evidence base validates directional correctness; and an SIIV closed loop with defined hardware interfaces drives continuous verification. In-silico computational validation demonstrates that the fusion judgement is reproducible, specific, high-coverage, and auditable. As a decision-support framework, ISSBF can serve as a research foundation for personalized non-pharmacological intervention; the efficacy of the framework as a whole awaits prospective human validation.</w:t>
      </w:r>
    </w:p>
    <w:p>
      <w:pPr>
        <w:spacing w:line="360" w:lineRule="auto" w:before="240" w:after="120"/>
      </w:pPr>
      <w:r>
        <w:rPr>
          <w:rFonts w:ascii="Times New Roman" w:hAnsi="Times New Roman" w:eastAsia="Times New Roman"/>
          <w:b/>
          <w:i w:val="0"/>
          <w:sz w:val="26"/>
        </w:rPr>
        <w:t>Author Contributions</w:t>
      </w:r>
    </w:p>
    <w:p>
      <w:pPr>
        <w:spacing w:line="360" w:lineRule="auto"/>
        <w:ind w:firstLine="720"/>
      </w:pPr>
      <w:r>
        <w:rPr>
          <w:rFonts w:ascii="Times New Roman" w:hAnsi="Times New Roman" w:eastAsia="Times New Roman"/>
          <w:b w:val="0"/>
          <w:i w:val="0"/>
          <w:sz w:val="24"/>
        </w:rPr>
        <w:t>Li Xing: Conceptualization (Lead); Methodology (Lead); Software (Lead); Validation (Lead); Formal analysis (Lead); Investigation (Lead); Writing – original draft (Lead); Writing – review &amp; editing (Lead); Visualization (Lead); Data curation (Lead).</w:t>
      </w:r>
    </w:p>
    <w:p>
      <w:pPr>
        <w:spacing w:line="360" w:lineRule="auto"/>
        <w:ind w:firstLine="720"/>
      </w:pPr>
      <w:r>
        <w:rPr>
          <w:rFonts w:ascii="Times New Roman" w:hAnsi="Times New Roman" w:eastAsia="Times New Roman"/>
          <w:b w:val="0"/>
          <w:i w:val="0"/>
          <w:sz w:val="24"/>
        </w:rPr>
        <w:t xml:space="preserve">All authors read and approved the final manuscript. </w:t>
      </w:r>
      <w:r>
        <w:rPr>
          <w:rFonts w:ascii="Times New Roman" w:hAnsi="Times New Roman" w:eastAsia="Times New Roman"/>
          <w:b w:val="0"/>
          <w:i/>
          <w:sz w:val="20"/>
        </w:rPr>
        <w:t>[Author: please complete CRediT categories for each co-author if any.]</w:t>
      </w:r>
    </w:p>
    <w:p>
      <w:pPr>
        <w:spacing w:line="360" w:lineRule="auto" w:before="240" w:after="120"/>
      </w:pPr>
      <w:r>
        <w:rPr>
          <w:rFonts w:ascii="Times New Roman" w:hAnsi="Times New Roman" w:eastAsia="Times New Roman"/>
          <w:b/>
          <w:i w:val="0"/>
          <w:sz w:val="26"/>
        </w:rPr>
        <w:t>Ethics Statement</w:t>
      </w:r>
    </w:p>
    <w:p>
      <w:pPr>
        <w:spacing w:line="360" w:lineRule="auto"/>
        <w:ind w:firstLine="720"/>
      </w:pPr>
      <w:r>
        <w:rPr>
          <w:rFonts w:ascii="Times New Roman" w:hAnsi="Times New Roman" w:eastAsia="Times New Roman"/>
          <w:b w:val="0"/>
          <w:i w:val="0"/>
          <w:sz w:val="24"/>
        </w:rPr>
        <w:t>This study did not involve human participants, human data, or human tissue. All computational validation used synthetic pathway scores generated in silico. No institutional review board approval was required. Case-library entries were compiled from publicly available peer-reviewed publications and classical texts and cite their original sources.</w:t>
      </w:r>
    </w:p>
    <w:p>
      <w:pPr>
        <w:spacing w:line="360" w:lineRule="auto" w:before="240" w:after="120"/>
      </w:pPr>
      <w:r>
        <w:rPr>
          <w:rFonts w:ascii="Times New Roman" w:hAnsi="Times New Roman" w:eastAsia="Times New Roman"/>
          <w:b/>
          <w:i w:val="0"/>
          <w:sz w:val="26"/>
        </w:rPr>
        <w:t>Funding</w:t>
      </w:r>
    </w:p>
    <w:p>
      <w:pPr>
        <w:spacing w:line="360" w:lineRule="auto"/>
        <w:ind w:firstLine="720"/>
      </w:pPr>
      <w:r>
        <w:rPr>
          <w:rFonts w:ascii="Times New Roman" w:hAnsi="Times New Roman" w:eastAsia="Times New Roman"/>
          <w:b w:val="0"/>
          <w:i w:val="0"/>
          <w:sz w:val="24"/>
        </w:rPr>
        <w:t>This research did not receive any specific grant from funding agencies in the public, commercial, or not-for-profit sectors.</w:t>
      </w:r>
    </w:p>
    <w:p>
      <w:pPr>
        <w:spacing w:line="360" w:lineRule="auto" w:before="240" w:after="120"/>
      </w:pPr>
      <w:r>
        <w:rPr>
          <w:rFonts w:ascii="Times New Roman" w:hAnsi="Times New Roman" w:eastAsia="Times New Roman"/>
          <w:b/>
          <w:i w:val="0"/>
          <w:sz w:val="26"/>
        </w:rPr>
        <w:t>Conflict of Interest</w:t>
      </w:r>
    </w:p>
    <w:p>
      <w:pPr>
        <w:spacing w:line="360" w:lineRule="auto"/>
        <w:ind w:firstLine="720"/>
      </w:pPr>
      <w:r>
        <w:rPr>
          <w:rFonts w:ascii="Times New Roman" w:hAnsi="Times New Roman" w:eastAsia="Times New Roman"/>
          <w:b w:val="0"/>
          <w:i w:val="0"/>
          <w:sz w:val="24"/>
        </w:rPr>
        <w:t>The author declares no conflicts of interest. The author is not a shareholder, employee, or consultant for any company selling health- or wellness-related products or services that would be affected by the publication of this manuscript.</w:t>
      </w:r>
    </w:p>
    <w:p>
      <w:pPr>
        <w:spacing w:line="360" w:lineRule="auto" w:before="240" w:after="120"/>
      </w:pPr>
      <w:r>
        <w:rPr>
          <w:rFonts w:ascii="Times New Roman" w:hAnsi="Times New Roman" w:eastAsia="Times New Roman"/>
          <w:b/>
          <w:i w:val="0"/>
          <w:sz w:val="26"/>
        </w:rPr>
        <w:t>Data Availability</w:t>
      </w:r>
    </w:p>
    <w:p>
      <w:pPr>
        <w:spacing w:line="360" w:lineRule="auto"/>
        <w:ind w:firstLine="720"/>
      </w:pPr>
      <w:r>
        <w:rPr>
          <w:rFonts w:ascii="Times New Roman" w:hAnsi="Times New Roman" w:eastAsia="Times New Roman"/>
          <w:b w:val="0"/>
          <w:i w:val="0"/>
          <w:sz w:val="24"/>
        </w:rPr>
        <w:t>The case evidence database (case_evidence_db.json), the computational validation metrics (engine_validation_metrics.json), and the validation script (tools/engine_validation.py) are available at the project GitHub repository under an open-source license. The supplementary data (HealthLens_computational_validation_supplement.csv) are included with this manuscript submission. No human genomic data were used.</w:t>
      </w:r>
    </w:p>
    <w:p>
      <w:pPr>
        <w:spacing w:line="360" w:lineRule="auto" w:before="240" w:after="120"/>
      </w:pPr>
      <w:r>
        <w:rPr>
          <w:rFonts w:ascii="Times New Roman" w:hAnsi="Times New Roman" w:eastAsia="Times New Roman"/>
          <w:b/>
          <w:i w:val="0"/>
          <w:sz w:val="26"/>
        </w:rPr>
        <w:t>Declaration of generative AI and AI-assisted technologies in the manuscript preparation process</w:t>
      </w:r>
    </w:p>
    <w:p>
      <w:pPr>
        <w:spacing w:line="360" w:lineRule="auto"/>
        <w:ind w:firstLine="720"/>
      </w:pPr>
      <w:r>
        <w:rPr>
          <w:rFonts w:ascii="Times New Roman" w:hAnsi="Times New Roman" w:eastAsia="Times New Roman"/>
          <w:b w:val="0"/>
          <w:i w:val="0"/>
          <w:sz w:val="24"/>
        </w:rPr>
        <w:t>During the preparation of this work the author used generative AI language models (specifically models from SenseTime and OpenAI-family APIs) in order to assist with English manuscript editing, literature-summary drafting, and reference-format verification. After using these tools, the author reviewed and edited all content against primary sources, and the author takes full responsibility for the content of the published article. AI tools were not used to generate claims, evidence, data, or figures, and no AI-generated references were retained without verification against original publications. AI tools were not used to generate the ten-axis mapping, the paradigm axioms, the fusion methodology, the SIIV loop, or the in-silico validation code—all of which are original intellectual contributions of the author.</w:t>
      </w:r>
    </w:p>
    <w:p>
      <w:pPr>
        <w:spacing w:line="360" w:lineRule="auto" w:before="240" w:after="120"/>
      </w:pPr>
      <w:r>
        <w:rPr>
          <w:rFonts w:ascii="Times New Roman" w:hAnsi="Times New Roman" w:eastAsia="Times New Roman"/>
          <w:b/>
          <w:i w:val="0"/>
          <w:sz w:val="26"/>
        </w:rPr>
        <w:t>AI-Assisted Disclosure</w:t>
      </w:r>
    </w:p>
    <w:p>
      <w:pPr>
        <w:spacing w:line="360" w:lineRule="auto"/>
        <w:ind w:firstLine="720"/>
      </w:pPr>
      <w:r>
        <w:rPr>
          <w:rFonts w:ascii="Times New Roman" w:hAnsi="Times New Roman" w:eastAsia="Times New Roman"/>
          <w:b w:val="0"/>
          <w:i w:val="0"/>
          <w:sz w:val="24"/>
        </w:rPr>
        <w:t>Generative AI language models were used to assist with manuscript editing and literature synthesis. All claims, mechanistic interpretations, and quantitative results were independently verified by the author against primary sources, including the original cited publications. Any references generated by AI tools were cross-checked in Web of Science and PubMed before inclusion.</w:t>
      </w:r>
    </w:p>
    <w:p>
      <w:r>
        <w:br w:type="page"/>
      </w:r>
    </w:p>
    <w:p>
      <w:pPr>
        <w:spacing w:line="360" w:lineRule="auto" w:before="240" w:after="120"/>
      </w:pPr>
      <w:r>
        <w:rPr>
          <w:rFonts w:ascii="Times New Roman" w:hAnsi="Times New Roman" w:eastAsia="Times New Roman"/>
          <w:b/>
          <w:i w:val="0"/>
          <w:sz w:val="26"/>
        </w:rPr>
        <w:t>References</w:t>
      </w:r>
    </w:p>
    <w:p>
      <w:pPr>
        <w:spacing w:line="360" w:lineRule="auto" w:after="120"/>
        <w:ind w:left="720" w:hanging="720"/>
      </w:pPr>
      <w:r>
        <w:rPr>
          <w:rFonts w:ascii="Times New Roman" w:hAnsi="Times New Roman" w:eastAsia="Times New Roman"/>
          <w:b w:val="0"/>
          <w:i w:val="0"/>
          <w:sz w:val="24"/>
        </w:rPr>
        <w:t>1. Bou Malhab LJ, Madkour MI, Abdelrahim DN, Ahmed N, El-Bakry SM, El-Gendy H, et al. Dawn-to-dusk intermittent fasting is associated with overexpression of autophagy genes: a prospective study on overweight and obese cohort. Clin Nutr ESPEN. 2025;65:209-217. doi:10.1016/j.clnesp.2024.11.002</w:t>
      </w:r>
    </w:p>
    <w:p>
      <w:pPr>
        <w:spacing w:line="360" w:lineRule="auto" w:after="120"/>
        <w:ind w:left="720" w:hanging="720"/>
      </w:pPr>
      <w:r>
        <w:rPr>
          <w:rFonts w:ascii="Times New Roman" w:hAnsi="Times New Roman" w:eastAsia="Times New Roman"/>
          <w:b w:val="0"/>
          <w:i w:val="0"/>
          <w:sz w:val="24"/>
        </w:rPr>
        <w:t>2. Li T, Xu X, Yang J, Wang C, Zhao J, Liu Y, et al. Intermittent fasting and health outcomes: an umbrella review of systematic reviews and meta-analyses of randomized controlled trials. EClinicalMedicine. 2024.</w:t>
      </w:r>
    </w:p>
    <w:p>
      <w:pPr>
        <w:spacing w:line="360" w:lineRule="auto" w:after="120"/>
        <w:ind w:left="720" w:hanging="720"/>
      </w:pPr>
      <w:r>
        <w:rPr>
          <w:rFonts w:ascii="Times New Roman" w:hAnsi="Times New Roman" w:eastAsia="Times New Roman"/>
          <w:b w:val="0"/>
          <w:i w:val="0"/>
          <w:sz w:val="24"/>
        </w:rPr>
        <w:t>3. Brandhorst S, Cinca R, Lebrun J, Brehme V, Wei S, Cheng W, et al. Fasting-mimicking diet causes hepatic and blood markers changes indicating reduced biological age and disease risk. Nat Commun. 2024;15:1373. doi:10.1038/s41467-024-45260-9</w:t>
      </w:r>
    </w:p>
    <w:p>
      <w:pPr>
        <w:spacing w:line="360" w:lineRule="auto" w:after="120"/>
        <w:ind w:left="720" w:hanging="720"/>
      </w:pPr>
      <w:r>
        <w:rPr>
          <w:rFonts w:ascii="Times New Roman" w:hAnsi="Times New Roman" w:eastAsia="Times New Roman"/>
          <w:b w:val="0"/>
          <w:i w:val="0"/>
          <w:sz w:val="24"/>
        </w:rPr>
        <w:t>4. Wang YY (Wang Yongyan). Kidney-deficiency phlegm-stasis and toxin-damaged luo theory. In: Academic System of Chinese Internal Medicine. Beijing: People's Medical Publishing House; 2018.</w:t>
      </w:r>
    </w:p>
    <w:p>
      <w:pPr>
        <w:spacing w:line="360" w:lineRule="auto" w:after="120"/>
        <w:ind w:left="720" w:hanging="720"/>
      </w:pPr>
      <w:r>
        <w:rPr>
          <w:rFonts w:ascii="Times New Roman" w:hAnsi="Times New Roman" w:eastAsia="Times New Roman"/>
          <w:b w:val="0"/>
          <w:i w:val="0"/>
          <w:sz w:val="24"/>
        </w:rPr>
        <w:t>5. Hickson LJ, Prata LGPL, Bobart SA, Manini KM, Creal G, Ransom T, et al. Senolytics decrease senescent cells in humans: preliminary report from a clinical trial of dasatinib plus quercetin in individuals with diabetic kidney disease. EBioMedicine. 2019;47:446-456. doi:10.1016/j.ebiom.2019.08.069</w:t>
      </w:r>
    </w:p>
    <w:p>
      <w:pPr>
        <w:spacing w:line="360" w:lineRule="auto" w:after="120"/>
        <w:ind w:left="720" w:hanging="720"/>
      </w:pPr>
      <w:r>
        <w:rPr>
          <w:rFonts w:ascii="Times New Roman" w:hAnsi="Times New Roman" w:eastAsia="Times New Roman"/>
          <w:b w:val="0"/>
          <w:i w:val="0"/>
          <w:sz w:val="24"/>
        </w:rPr>
        <w:t>6. Barabási AL, Gulbahce N, Loscalzo J. Network medicine: a network-based approach to human disease. Nat Rev Genet. 2011;12(1):56-68.</w:t>
      </w:r>
    </w:p>
    <w:p>
      <w:pPr>
        <w:spacing w:line="360" w:lineRule="auto" w:after="120"/>
        <w:ind w:left="720" w:hanging="720"/>
      </w:pPr>
      <w:r>
        <w:rPr>
          <w:rFonts w:ascii="Times New Roman" w:hAnsi="Times New Roman" w:eastAsia="Times New Roman"/>
          <w:b w:val="0"/>
          <w:i w:val="0"/>
          <w:sz w:val="24"/>
        </w:rPr>
        <w:t>7. Justice JN, Nambiar AM, Tchkonia T, Pirtskhalava T, Bhutkar A, Kirkland J, et al. Senolytics in idiopathic pulmonary fibrosis: results from a first-in-human, open-label, pilot study. EBioMedicine. 2019;40:554-563. doi:10.1016/j.ebiom.2018.12.052</w:t>
      </w:r>
    </w:p>
    <w:p>
      <w:pPr>
        <w:spacing w:line="360" w:lineRule="auto" w:after="120"/>
        <w:ind w:left="720" w:hanging="720"/>
      </w:pPr>
      <w:r>
        <w:rPr>
          <w:rFonts w:ascii="Times New Roman" w:hAnsi="Times New Roman" w:eastAsia="Times New Roman"/>
          <w:b w:val="0"/>
          <w:i w:val="0"/>
          <w:sz w:val="24"/>
        </w:rPr>
        <w:t>8. Dote-Montero M, Clavero-Jimeno A, Merchan-Ramirez E, Martinez-Fernandez S, Vial C, Masi A, et al. Effects of early, late and self-selected time-restricted eating on visceral adipose tissue and cardiometabolic health in participants with overweight or obesity: a randomized controlled trial. Nat Med. 2025;31:524-533. doi:10.1038/s41591-024-03375-y</w:t>
      </w:r>
    </w:p>
    <w:p>
      <w:pPr>
        <w:spacing w:line="360" w:lineRule="auto" w:after="120"/>
        <w:ind w:left="720" w:hanging="720"/>
      </w:pPr>
      <w:r>
        <w:rPr>
          <w:rFonts w:ascii="Times New Roman" w:hAnsi="Times New Roman" w:eastAsia="Times New Roman"/>
          <w:b w:val="0"/>
          <w:i w:val="0"/>
          <w:sz w:val="24"/>
        </w:rPr>
        <w:t>9. Oh JH, Yoon EL, Park H, Kim JH, Kim DH, Lee WJ, et al. Efficacy and safety of time-restricted eating in metabolic dysfunction-associated steatotic liver disease: a randomized controlled trial. J Hepatol. 2025. doi:10.1016/j.jhep.2025.06.005</w:t>
      </w:r>
    </w:p>
    <w:p>
      <w:pPr>
        <w:spacing w:line="360" w:lineRule="auto" w:after="120"/>
        <w:ind w:left="720" w:hanging="720"/>
      </w:pPr>
      <w:r>
        <w:rPr>
          <w:rFonts w:ascii="Times New Roman" w:hAnsi="Times New Roman" w:eastAsia="Times New Roman"/>
          <w:b w:val="0"/>
          <w:i w:val="0"/>
          <w:sz w:val="24"/>
        </w:rPr>
        <w:t>10. Chang AM, Aeschbach D, Duffy JF, Czeisler CA. Evening use of light-emitting eReaders negatively affects sleep, circadian timing, and next-morning alertness. Proc Natl Acad Sci USA. 2015;112(4):1232-1237. doi:10.1073/pnas.1418490112</w:t>
      </w:r>
    </w:p>
    <w:p>
      <w:pPr>
        <w:spacing w:line="360" w:lineRule="auto" w:after="120"/>
        <w:ind w:left="720" w:hanging="720"/>
      </w:pPr>
      <w:r>
        <w:rPr>
          <w:rFonts w:ascii="Times New Roman" w:hAnsi="Times New Roman" w:eastAsia="Times New Roman"/>
          <w:b w:val="0"/>
          <w:i w:val="0"/>
          <w:sz w:val="24"/>
        </w:rPr>
        <w:t>11. Ma J, Yu W, Zhang Y, Chen L, Zhou H, Wu Y, et al. Morning bright light exposure improves sleep efficiency and latency in disturbed sleepers: a randomized controlled trial. Sleep Med. 2020;71:62-68. doi:10.1016/j.sleep.2020.05.009</w:t>
      </w:r>
    </w:p>
    <w:p>
      <w:pPr>
        <w:spacing w:line="360" w:lineRule="auto" w:after="120"/>
        <w:ind w:left="720" w:hanging="720"/>
      </w:pPr>
      <w:r>
        <w:rPr>
          <w:rFonts w:ascii="Times New Roman" w:hAnsi="Times New Roman" w:eastAsia="Times New Roman"/>
          <w:b w:val="0"/>
          <w:i w:val="0"/>
          <w:sz w:val="24"/>
        </w:rPr>
        <w:t>12. Goyal M, Singh S, Sibinga EM, Gould NF, Rowland-Wayne A, Curiño I, et al. Meditation programs for psychological stress and well-being: a systematic review and meta-analysis. JAMA Intern Med. 2014;174(3):357-368.</w:t>
      </w:r>
    </w:p>
    <w:p>
      <w:pPr>
        <w:spacing w:line="360" w:lineRule="auto" w:after="120"/>
        <w:ind w:left="720" w:hanging="720"/>
      </w:pPr>
      <w:r>
        <w:rPr>
          <w:rFonts w:ascii="Times New Roman" w:hAnsi="Times New Roman" w:eastAsia="Times New Roman"/>
          <w:b w:val="0"/>
          <w:i w:val="0"/>
          <w:sz w:val="24"/>
        </w:rPr>
        <w:t>13. China Academy of Information and Communications Technology. Brain–computer interface technology and application research report 2025. Beijing: CAICT; 2025.</w:t>
      </w:r>
    </w:p>
    <w:p>
      <w:pPr>
        <w:spacing w:line="360" w:lineRule="auto" w:after="120"/>
        <w:ind w:left="720" w:hanging="720"/>
      </w:pPr>
      <w:r>
        <w:rPr>
          <w:rFonts w:ascii="Times New Roman" w:hAnsi="Times New Roman" w:eastAsia="Times New Roman"/>
          <w:b w:val="0"/>
          <w:i w:val="0"/>
          <w:sz w:val="24"/>
        </w:rPr>
        <w:t>14. Huawei HiHealth Kit. Open data types and Extended Health Service Kit documentation. Available at: https://developer.huawei.com/consumer/cn/hms/hia/overview. Accessed 2026.</w:t>
      </w:r>
    </w:p>
    <w:p>
      <w:pPr>
        <w:spacing w:line="360" w:lineRule="auto" w:after="120"/>
        <w:ind w:left="720" w:hanging="720"/>
      </w:pPr>
      <w:r>
        <w:rPr>
          <w:rFonts w:ascii="Times New Roman" w:hAnsi="Times New Roman" w:eastAsia="Times New Roman"/>
          <w:b w:val="0"/>
          <w:i w:val="0"/>
          <w:sz w:val="24"/>
        </w:rPr>
        <w:t>15. Little JP, Safdar A, Bishop D, Trew K, Gibala M, Phillips S. An acute bout of high-intensity interval training increases the capacity for fat oxidation during exercise in women. J Appl Physiol. 2010;109(6):1568-1574.</w:t>
      </w:r>
    </w:p>
    <w:p>
      <w:pPr>
        <w:spacing w:line="360" w:lineRule="auto" w:after="120"/>
        <w:ind w:left="720" w:hanging="720"/>
      </w:pPr>
      <w:r>
        <w:rPr>
          <w:rFonts w:ascii="Times New Roman" w:hAnsi="Times New Roman" w:eastAsia="Times New Roman"/>
          <w:b w:val="0"/>
          <w:i w:val="0"/>
          <w:sz w:val="24"/>
        </w:rPr>
        <w:t>16. Kirkland JL, Tchkonia T. Senolytic drugs: from discovery to translation. J Intern Med. 2020;288(5):518-536.</w:t>
      </w:r>
    </w:p>
    <w:p>
      <w:pPr>
        <w:spacing w:line="360" w:lineRule="auto" w:after="120"/>
        <w:ind w:left="720" w:hanging="720"/>
      </w:pPr>
      <w:r>
        <w:rPr>
          <w:rFonts w:ascii="Times New Roman" w:hAnsi="Times New Roman" w:eastAsia="Times New Roman"/>
          <w:b w:val="0"/>
          <w:i w:val="0"/>
          <w:sz w:val="24"/>
        </w:rPr>
        <w:t>17. Su Z, Chen L. Utilizing circulating microRNAs for personalized exercise programs: insights into physiological adaptations and individual responses. Biology. 2025.</w:t>
      </w:r>
    </w:p>
    <w:p>
      <w:pPr>
        <w:spacing w:line="360" w:lineRule="auto" w:after="120"/>
        <w:ind w:left="720" w:hanging="720"/>
      </w:pPr>
      <w:r>
        <w:rPr>
          <w:rFonts w:ascii="Times New Roman" w:hAnsi="Times New Roman" w:eastAsia="Times New Roman"/>
          <w:b w:val="0"/>
          <w:i w:val="0"/>
          <w:sz w:val="24"/>
        </w:rPr>
        <w:t>18. Farr JN, Atkinson EJ, Achenbach SJ, Volkman TL, Tweed AJ, Vos SJ, Ruan M, Sfeir J, Drake MT, Saul D, Doolittle ML, Bancos I, Yu K, Tchkonia T, LeBrasseur NK, Kirkland JL, Monroe DG, Khosla S. Effects of intermittent senolytic therapy on bone metabolism in postmenopausal women: a phase 2 randomized controlled trial. Nat Med. 2024;30(9):2605-2612. doi:10.1038/s41591-024-03096-2</w:t>
      </w:r>
    </w:p>
    <w:p>
      <w:pPr>
        <w:spacing w:line="360" w:lineRule="auto" w:after="120"/>
        <w:ind w:left="720" w:hanging="720"/>
      </w:pPr>
      <w:r>
        <w:rPr>
          <w:rFonts w:ascii="Times New Roman" w:hAnsi="Times New Roman" w:eastAsia="Times New Roman"/>
          <w:b w:val="0"/>
          <w:i w:val="0"/>
          <w:sz w:val="24"/>
        </w:rPr>
        <w:t>19. Yu P, Chen W, Huang H, Xu Y, Zhang J, Wang X, et al. Exercise-induced muscle exosomes: microRNA cargo as regulators of cardiovascular remodeling and disease progression. J Nanobiotechnol. 2026. doi:10.1186/s12967-026-08038-9</w:t>
      </w:r>
    </w:p>
    <w:p>
      <w:pPr>
        <w:spacing w:line="360" w:lineRule="auto" w:after="120"/>
        <w:ind w:left="720" w:hanging="720"/>
      </w:pPr>
      <w:r>
        <w:rPr>
          <w:rFonts w:ascii="Times New Roman" w:hAnsi="Times New Roman" w:eastAsia="Times New Roman"/>
          <w:b w:val="0"/>
          <w:i w:val="0"/>
          <w:sz w:val="24"/>
        </w:rPr>
        <w:t>20. Wang X, Huang H, Chen J, Zhang Q. Mechanism of exercise-derived circulating exosomes as a target for sarcopenia management. Front Physiol. 2026;16:1680485.</w:t>
      </w:r>
    </w:p>
    <w:p>
      <w:pPr>
        <w:spacing w:line="360" w:lineRule="auto" w:after="120"/>
        <w:ind w:left="720" w:hanging="720"/>
      </w:pPr>
      <w:r>
        <w:rPr>
          <w:rFonts w:ascii="Times New Roman" w:hAnsi="Times New Roman" w:eastAsia="Times New Roman"/>
          <w:b w:val="0"/>
          <w:i w:val="0"/>
          <w:sz w:val="24"/>
        </w:rPr>
        <w:t>21. Nature Aging. CD4 T cells acquire Eomesodermin to modulate cellular senescence and aging. Nat Aging. 2025. doi:10.1038/s43587-025-00953-8</w:t>
      </w:r>
    </w:p>
    <w:p>
      <w:pPr>
        <w:spacing w:line="360" w:lineRule="auto" w:after="120"/>
        <w:ind w:left="720" w:hanging="720"/>
      </w:pPr>
      <w:r>
        <w:rPr>
          <w:rFonts w:ascii="Times New Roman" w:hAnsi="Times New Roman" w:eastAsia="Times New Roman"/>
          <w:b w:val="0"/>
          <w:i w:val="0"/>
          <w:sz w:val="24"/>
        </w:rPr>
        <w:t>22. Cell Reports. CD4 CTLs in supercentenarians: signs of adaptive expansion in healthy aging. Cell Rep. 2026. doi:10.1016/j.celrep.2026.117728</w:t>
      </w:r>
    </w:p>
    <w:p>
      <w:pPr>
        <w:spacing w:line="360" w:lineRule="auto" w:after="120"/>
        <w:ind w:left="720" w:hanging="720"/>
      </w:pPr>
      <w:r>
        <w:rPr>
          <w:rFonts w:ascii="Times New Roman" w:hAnsi="Times New Roman" w:eastAsia="Times New Roman"/>
          <w:b w:val="0"/>
          <w:i w:val="0"/>
          <w:sz w:val="24"/>
        </w:rPr>
        <w:t>23. Cai Y, Zhang J, Li P, Sun H, Liu Y, Chen X, et al. C2S-Scale: a single-cell foundation model for conditional virtual screening. arXiv:2508.12855. 2025. [preprint]</w:t>
      </w:r>
    </w:p>
    <w:p>
      <w:pPr>
        <w:spacing w:line="360" w:lineRule="auto" w:after="120"/>
        <w:ind w:left="720" w:hanging="720"/>
      </w:pPr>
      <w:r>
        <w:rPr>
          <w:rFonts w:ascii="Times New Roman" w:hAnsi="Times New Roman" w:eastAsia="Times New Roman"/>
          <w:b w:val="0"/>
          <w:i w:val="0"/>
          <w:sz w:val="24"/>
        </w:rPr>
        <w:t>24. Jindu Life Sciences. GeneLLM: a foundation model for cancer detection using cell-free RNA sequencing. Nat Commun. 2026. Available at: https://huggingface.co/Bilford-Lab/GeneLLM</w:t>
      </w:r>
    </w:p>
    <w:p>
      <w:r>
        <w:br w:type="page"/>
      </w:r>
    </w:p>
    <w:p>
      <w:pPr>
        <w:spacing w:line="360" w:lineRule="auto" w:after="120"/>
      </w:pPr>
      <w:r>
        <w:rPr>
          <w:rFonts w:ascii="Times New Roman" w:hAnsi="Times New Roman" w:eastAsia="Times New Roman"/>
          <w:b/>
          <w:i w:val="0"/>
          <w:sz w:val="24"/>
        </w:rPr>
        <w:t>Table 1.</w:t>
      </w:r>
      <w:r>
        <w:rPr>
          <w:rFonts w:ascii="Times New Roman" w:hAnsi="Times New Roman" w:eastAsia="Times New Roman"/>
          <w:b w:val="0"/>
          <w:i w:val="0"/>
          <w:sz w:val="24"/>
        </w:rPr>
        <w:t xml:space="preserve"> Representative entries from the stratified case evidence base (n = 120; 7 Crossref-verified shown)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0"/>
            </w:pPr>
            <w:r/>
            <w:r>
              <w:rPr>
                <w:rFonts w:ascii="Times New Roman" w:hAnsi="Times New Roman" w:eastAsia="Times New Roman"/>
                <w:b/>
                <w:i w:val="0"/>
                <w:sz w:val="20"/>
              </w:rPr>
              <w:t>ID</w:t>
            </w:r>
          </w:p>
        </w:tc>
        <w:tc>
          <w:tcPr>
            <w:tcW w:type="dxa" w:w="1337"/>
          </w:tcPr>
          <w:p>
            <w:pPr>
              <w:spacing w:line="240" w:lineRule="auto" w:after="0"/>
            </w:pPr>
            <w:r/>
            <w:r>
              <w:rPr>
                <w:rFonts w:ascii="Times New Roman" w:hAnsi="Times New Roman" w:eastAsia="Times New Roman"/>
                <w:b/>
                <w:i w:val="0"/>
                <w:sz w:val="20"/>
              </w:rPr>
              <w:t>Intervention</w:t>
            </w:r>
          </w:p>
        </w:tc>
        <w:tc>
          <w:tcPr>
            <w:tcW w:type="dxa" w:w="1337"/>
          </w:tcPr>
          <w:p>
            <w:pPr>
              <w:spacing w:line="240" w:lineRule="auto" w:after="0"/>
            </w:pPr>
            <w:r/>
            <w:r>
              <w:rPr>
                <w:rFonts w:ascii="Times New Roman" w:hAnsi="Times New Roman" w:eastAsia="Times New Roman"/>
                <w:b/>
                <w:i w:val="0"/>
                <w:sz w:val="20"/>
              </w:rPr>
              <w:t>Axis</w:t>
            </w:r>
          </w:p>
        </w:tc>
        <w:tc>
          <w:tcPr>
            <w:tcW w:type="dxa" w:w="1337"/>
          </w:tcPr>
          <w:p>
            <w:pPr>
              <w:spacing w:line="240" w:lineRule="auto" w:after="0"/>
            </w:pPr>
            <w:r/>
            <w:r>
              <w:rPr>
                <w:rFonts w:ascii="Times New Roman" w:hAnsi="Times New Roman" w:eastAsia="Times New Roman"/>
                <w:b/>
                <w:i w:val="0"/>
                <w:sz w:val="20"/>
              </w:rPr>
              <w:t>Population / Design</w:t>
            </w:r>
          </w:p>
        </w:tc>
        <w:tc>
          <w:tcPr>
            <w:tcW w:type="dxa" w:w="1337"/>
          </w:tcPr>
          <w:p>
            <w:pPr>
              <w:spacing w:line="240" w:lineRule="auto" w:after="0"/>
            </w:pPr>
            <w:r/>
            <w:r>
              <w:rPr>
                <w:rFonts w:ascii="Times New Roman" w:hAnsi="Times New Roman" w:eastAsia="Times New Roman"/>
                <w:b/>
                <w:i w:val="0"/>
                <w:sz w:val="20"/>
              </w:rPr>
              <w:t>Key effect</w:t>
            </w:r>
          </w:p>
        </w:tc>
        <w:tc>
          <w:tcPr>
            <w:tcW w:type="dxa" w:w="1337"/>
          </w:tcPr>
          <w:p>
            <w:pPr>
              <w:spacing w:line="240" w:lineRule="auto" w:after="0"/>
            </w:pPr>
            <w:r/>
            <w:r>
              <w:rPr>
                <w:rFonts w:ascii="Times New Roman" w:hAnsi="Times New Roman" w:eastAsia="Times New Roman"/>
                <w:b/>
                <w:i w:val="0"/>
                <w:sz w:val="20"/>
              </w:rPr>
              <w:t>Grade</w:t>
            </w:r>
          </w:p>
        </w:tc>
        <w:tc>
          <w:tcPr>
            <w:tcW w:type="dxa" w:w="1337"/>
          </w:tcPr>
          <w:p>
            <w:pPr>
              <w:spacing w:line="240" w:lineRule="auto" w:after="0"/>
            </w:pPr>
            <w:r/>
            <w:r>
              <w:rPr>
                <w:rFonts w:ascii="Times New Roman" w:hAnsi="Times New Roman" w:eastAsia="Times New Roman"/>
                <w:b/>
                <w:i w:val="0"/>
                <w:sz w:val="20"/>
              </w:rPr>
              <w:t>DOI</w:t>
            </w:r>
          </w:p>
        </w:tc>
      </w:tr>
      <w:tr>
        <w:tc>
          <w:tcPr>
            <w:tcW w:type="dxa" w:w="1337"/>
          </w:tcPr>
          <w:p>
            <w:pPr>
              <w:spacing w:line="240" w:lineRule="auto" w:after="0"/>
            </w:pPr>
            <w:r/>
            <w:r>
              <w:rPr>
                <w:rFonts w:ascii="Times New Roman" w:hAnsi="Times New Roman" w:eastAsia="Times New Roman"/>
                <w:b w:val="0"/>
                <w:i w:val="0"/>
                <w:sz w:val="20"/>
              </w:rPr>
              <w:t>CASE-001</w:t>
            </w:r>
          </w:p>
        </w:tc>
        <w:tc>
          <w:tcPr>
            <w:tcW w:type="dxa" w:w="1337"/>
          </w:tcPr>
          <w:p>
            <w:pPr>
              <w:spacing w:line="240" w:lineRule="auto" w:after="0"/>
            </w:pPr>
            <w:r/>
            <w:r>
              <w:rPr>
                <w:rFonts w:ascii="Times New Roman" w:hAnsi="Times New Roman" w:eastAsia="Times New Roman"/>
                <w:b w:val="0"/>
                <w:i w:val="0"/>
                <w:sz w:val="20"/>
              </w:rPr>
              <w:t>4-week fasting</w:t>
            </w:r>
          </w:p>
        </w:tc>
        <w:tc>
          <w:tcPr>
            <w:tcW w:type="dxa" w:w="1337"/>
          </w:tcPr>
          <w:p>
            <w:pPr>
              <w:spacing w:line="240" w:lineRule="auto" w:after="0"/>
            </w:pPr>
            <w:r/>
            <w:r>
              <w:rPr>
                <w:rFonts w:ascii="Times New Roman" w:hAnsi="Times New Roman" w:eastAsia="Times New Roman"/>
                <w:b w:val="0"/>
                <w:i w:val="0"/>
                <w:sz w:val="20"/>
              </w:rPr>
              <w:t>A / F</w:t>
            </w:r>
          </w:p>
        </w:tc>
        <w:tc>
          <w:tcPr>
            <w:tcW w:type="dxa" w:w="1337"/>
          </w:tcPr>
          <w:p>
            <w:pPr>
              <w:spacing w:line="240" w:lineRule="auto" w:after="0"/>
            </w:pPr>
            <w:r/>
            <w:r>
              <w:rPr>
                <w:rFonts w:ascii="Times New Roman" w:hAnsi="Times New Roman" w:eastAsia="Times New Roman"/>
                <w:b w:val="0"/>
                <w:i w:val="0"/>
                <w:sz w:val="20"/>
              </w:rPr>
              <w:t>51 adults, prospective</w:t>
            </w:r>
          </w:p>
        </w:tc>
        <w:tc>
          <w:tcPr>
            <w:tcW w:type="dxa" w:w="1337"/>
          </w:tcPr>
          <w:p>
            <w:pPr>
              <w:spacing w:line="240" w:lineRule="auto" w:after="0"/>
            </w:pPr>
            <w:r/>
            <w:r>
              <w:rPr>
                <w:rFonts w:ascii="Times New Roman" w:hAnsi="Times New Roman" w:eastAsia="Times New Roman"/>
                <w:b w:val="0"/>
                <w:i w:val="0"/>
                <w:sz w:val="20"/>
              </w:rPr>
              <w:t>LAMP2 4.2-fold, LC3B 1.9-fold</w:t>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r>
              <w:rPr>
                <w:rFonts w:ascii="Times New Roman" w:hAnsi="Times New Roman" w:eastAsia="Times New Roman"/>
                <w:b w:val="0"/>
                <w:i w:val="0"/>
                <w:sz w:val="20"/>
              </w:rPr>
              <w:t>10.1016/j.clnesp.2024.11.002</w:t>
            </w:r>
          </w:p>
        </w:tc>
      </w:tr>
      <w:tr>
        <w:tc>
          <w:tcPr>
            <w:tcW w:type="dxa" w:w="1337"/>
          </w:tcPr>
          <w:p>
            <w:pPr>
              <w:spacing w:line="240" w:lineRule="auto" w:after="0"/>
            </w:pPr>
            <w:r/>
            <w:r>
              <w:rPr>
                <w:rFonts w:ascii="Times New Roman" w:hAnsi="Times New Roman" w:eastAsia="Times New Roman"/>
                <w:b w:val="0"/>
                <w:i w:val="0"/>
                <w:sz w:val="20"/>
              </w:rPr>
              <w:t>CASE-006</w:t>
            </w:r>
          </w:p>
        </w:tc>
        <w:tc>
          <w:tcPr>
            <w:tcW w:type="dxa" w:w="1337"/>
          </w:tcPr>
          <w:p>
            <w:pPr>
              <w:spacing w:line="240" w:lineRule="auto" w:after="0"/>
            </w:pPr>
            <w:r>
              <w:t>D+Q Phase II RCT</w:t>
            </w:r>
            <w:r>
              <w:rPr>
                <w:rFonts w:ascii="Times New Roman" w:hAnsi="Times New Roman" w:eastAsia="Times New Roman"/>
                <w:b w:val="0"/>
                <w:i w:val="0"/>
                <w:sz w:val="20"/>
              </w:rPr>
            </w:r>
          </w:p>
        </w:tc>
        <w:tc>
          <w:tcPr>
            <w:tcW w:type="dxa" w:w="1337"/>
          </w:tcPr>
          <w:p>
            <w:pPr>
              <w:spacing w:line="240" w:lineRule="auto" w:after="0"/>
            </w:pPr>
            <w:r/>
            <w:r>
              <w:rPr>
                <w:rFonts w:ascii="Times New Roman" w:hAnsi="Times New Roman" w:eastAsia="Times New Roman"/>
                <w:b w:val="0"/>
                <w:i w:val="0"/>
                <w:sz w:val="20"/>
              </w:rPr>
              <w:t>C / H</w:t>
            </w:r>
          </w:p>
        </w:tc>
        <w:tc>
          <w:tcPr>
            <w:tcW w:type="dxa" w:w="1337"/>
          </w:tcPr>
          <w:p>
            <w:pPr>
              <w:spacing w:line="240" w:lineRule="auto" w:after="0"/>
            </w:pPr>
            <w:r>
              <w:t>60 postmenopausal women aged 62-88, Phase II RCT</w:t>
            </w:r>
            <w:r>
              <w:rPr>
                <w:rFonts w:ascii="Times New Roman" w:hAnsi="Times New Roman" w:eastAsia="Times New Roman"/>
                <w:b w:val="0"/>
                <w:i w:val="0"/>
                <w:sz w:val="20"/>
              </w:rPr>
            </w:r>
          </w:p>
        </w:tc>
        <w:tc>
          <w:tcPr>
            <w:tcW w:type="dxa" w:w="1337"/>
          </w:tcPr>
          <w:p>
            <w:pPr>
              <w:spacing w:line="240" w:lineRule="auto" w:after="0"/>
            </w:pPr>
            <w:r>
              <w:t>P1NP elevated at weeks 0-6; no clear effect on bone degradation marker</w:t>
            </w:r>
            <w:r>
              <w:rPr>
                <w:rFonts w:ascii="Times New Roman" w:hAnsi="Times New Roman" w:eastAsia="Times New Roman"/>
                <w:b w:val="0"/>
                <w:i w:val="0"/>
                <w:sz w:val="20"/>
              </w:rPr>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t>10.1038/s41591-024-03096-2</w:t>
            </w:r>
            <w:r>
              <w:rPr>
                <w:rFonts w:ascii="Times New Roman" w:hAnsi="Times New Roman" w:eastAsia="Times New Roman"/>
                <w:b w:val="0"/>
                <w:i w:val="0"/>
                <w:sz w:val="20"/>
              </w:rPr>
            </w:r>
          </w:p>
        </w:tc>
      </w:tr>
      <w:tr>
        <w:tc>
          <w:tcPr>
            <w:tcW w:type="dxa" w:w="1337"/>
          </w:tcPr>
          <w:p>
            <w:pPr>
              <w:spacing w:line="240" w:lineRule="auto" w:after="0"/>
            </w:pPr>
            <w:r/>
            <w:r>
              <w:rPr>
                <w:rFonts w:ascii="Times New Roman" w:hAnsi="Times New Roman" w:eastAsia="Times New Roman"/>
                <w:b w:val="0"/>
                <w:i w:val="0"/>
                <w:sz w:val="20"/>
              </w:rPr>
              <w:t>CASE-007</w:t>
            </w:r>
          </w:p>
        </w:tc>
        <w:tc>
          <w:tcPr>
            <w:tcW w:type="dxa" w:w="1337"/>
          </w:tcPr>
          <w:p>
            <w:pPr>
              <w:spacing w:line="240" w:lineRule="auto" w:after="0"/>
            </w:pPr>
            <w:r/>
            <w:r>
              <w:rPr>
                <w:rFonts w:ascii="Times New Roman" w:hAnsi="Times New Roman" w:eastAsia="Times New Roman"/>
                <w:b w:val="0"/>
                <w:i w:val="0"/>
                <w:sz w:val="20"/>
              </w:rPr>
              <w:t>Early vs late TRE</w:t>
            </w:r>
          </w:p>
        </w:tc>
        <w:tc>
          <w:tcPr>
            <w:tcW w:type="dxa" w:w="1337"/>
          </w:tcPr>
          <w:p>
            <w:pPr>
              <w:spacing w:line="240" w:lineRule="auto" w:after="0"/>
            </w:pPr>
            <w:r/>
            <w:r>
              <w:rPr>
                <w:rFonts w:ascii="Times New Roman" w:hAnsi="Times New Roman" w:eastAsia="Times New Roman"/>
                <w:b w:val="0"/>
                <w:i w:val="0"/>
                <w:sz w:val="20"/>
              </w:rPr>
              <w:t>D</w:t>
            </w:r>
          </w:p>
        </w:tc>
        <w:tc>
          <w:tcPr>
            <w:tcW w:type="dxa" w:w="1337"/>
          </w:tcPr>
          <w:p>
            <w:pPr>
              <w:spacing w:line="240" w:lineRule="auto" w:after="0"/>
            </w:pPr>
            <w:r/>
            <w:r>
              <w:rPr>
                <w:rFonts w:ascii="Times New Roman" w:hAnsi="Times New Roman" w:eastAsia="Times New Roman"/>
                <w:b w:val="0"/>
                <w:i w:val="0"/>
                <w:sz w:val="20"/>
              </w:rPr>
              <w:t>197 adults, 12-week RCT</w:t>
            </w:r>
          </w:p>
        </w:tc>
        <w:tc>
          <w:tcPr>
            <w:tcW w:type="dxa" w:w="1337"/>
          </w:tcPr>
          <w:p>
            <w:pPr>
              <w:spacing w:line="240" w:lineRule="auto" w:after="0"/>
            </w:pPr>
            <w:r/>
            <w:r>
              <w:rPr>
                <w:rFonts w:ascii="Times New Roman" w:hAnsi="Times New Roman" w:eastAsia="Times New Roman"/>
                <w:b w:val="0"/>
                <w:i w:val="0"/>
                <w:sz w:val="20"/>
              </w:rPr>
              <w:t>All TRE groups reduced VAT; early TRE superior for HOMA-IR (P &lt; 0.05)</w:t>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r>
              <w:rPr>
                <w:rFonts w:ascii="Times New Roman" w:hAnsi="Times New Roman" w:eastAsia="Times New Roman"/>
                <w:b w:val="0"/>
                <w:i w:val="0"/>
                <w:sz w:val="20"/>
              </w:rPr>
              <w:t>10.1038/s41591-024-03375-y</w:t>
            </w:r>
          </w:p>
        </w:tc>
      </w:tr>
      <w:tr>
        <w:tc>
          <w:tcPr>
            <w:tcW w:type="dxa" w:w="1337"/>
          </w:tcPr>
          <w:p>
            <w:pPr>
              <w:spacing w:line="240" w:lineRule="auto" w:after="0"/>
            </w:pPr>
            <w:r/>
            <w:r>
              <w:rPr>
                <w:rFonts w:ascii="Times New Roman" w:hAnsi="Times New Roman" w:eastAsia="Times New Roman"/>
                <w:b w:val="0"/>
                <w:i w:val="0"/>
                <w:sz w:val="20"/>
              </w:rPr>
              <w:t>CASE-008</w:t>
            </w:r>
          </w:p>
        </w:tc>
        <w:tc>
          <w:tcPr>
            <w:tcW w:type="dxa" w:w="1337"/>
          </w:tcPr>
          <w:p>
            <w:pPr>
              <w:spacing w:line="240" w:lineRule="auto" w:after="0"/>
            </w:pPr>
            <w:r/>
            <w:r>
              <w:rPr>
                <w:rFonts w:ascii="Times New Roman" w:hAnsi="Times New Roman" w:eastAsia="Times New Roman"/>
                <w:b w:val="0"/>
                <w:i w:val="0"/>
                <w:sz w:val="20"/>
              </w:rPr>
              <w:t>16:8 TRE</w:t>
            </w:r>
          </w:p>
        </w:tc>
        <w:tc>
          <w:tcPr>
            <w:tcW w:type="dxa" w:w="1337"/>
          </w:tcPr>
          <w:p>
            <w:pPr>
              <w:spacing w:line="240" w:lineRule="auto" w:after="0"/>
            </w:pPr>
            <w:r/>
            <w:r>
              <w:rPr>
                <w:rFonts w:ascii="Times New Roman" w:hAnsi="Times New Roman" w:eastAsia="Times New Roman"/>
                <w:b w:val="0"/>
                <w:i w:val="0"/>
                <w:sz w:val="20"/>
              </w:rPr>
              <w:t>D / F</w:t>
            </w:r>
          </w:p>
        </w:tc>
        <w:tc>
          <w:tcPr>
            <w:tcW w:type="dxa" w:w="1337"/>
          </w:tcPr>
          <w:p>
            <w:pPr>
              <w:spacing w:line="240" w:lineRule="auto" w:after="0"/>
            </w:pPr>
            <w:r/>
            <w:r>
              <w:rPr>
                <w:rFonts w:ascii="Times New Roman" w:hAnsi="Times New Roman" w:eastAsia="Times New Roman"/>
                <w:b w:val="0"/>
                <w:i w:val="0"/>
                <w:sz w:val="20"/>
              </w:rPr>
              <w:t>333 MASLD adults, 16-week RCT</w:t>
            </w:r>
          </w:p>
        </w:tc>
        <w:tc>
          <w:tcPr>
            <w:tcW w:type="dxa" w:w="1337"/>
          </w:tcPr>
          <w:p>
            <w:pPr>
              <w:spacing w:line="240" w:lineRule="auto" w:after="0"/>
            </w:pPr>
            <w:r/>
            <w:r>
              <w:rPr>
                <w:rFonts w:ascii="Times New Roman" w:hAnsi="Times New Roman" w:eastAsia="Times New Roman"/>
                <w:b w:val="0"/>
                <w:i w:val="0"/>
                <w:sz w:val="20"/>
              </w:rPr>
              <w:t>Hepatic fat reduced 25.8% (TRE equivalent to calorie restriction)</w:t>
            </w:r>
          </w:p>
        </w:tc>
        <w:tc>
          <w:tcPr>
            <w:tcW w:type="dxa" w:w="1337"/>
          </w:tcPr>
          <w:p>
            <w:pPr>
              <w:spacing w:line="240" w:lineRule="auto" w:after="0"/>
            </w:pPr>
            <w:r/>
            <w:r>
              <w:rPr>
                <w:rFonts w:ascii="Times New Roman" w:hAnsi="Times New Roman" w:eastAsia="Times New Roman"/>
                <w:b w:val="0"/>
                <w:i w:val="0"/>
                <w:sz w:val="20"/>
              </w:rPr>
              <w:t>L1</w:t>
            </w:r>
          </w:p>
        </w:tc>
        <w:tc>
          <w:tcPr>
            <w:tcW w:type="dxa" w:w="1337"/>
          </w:tcPr>
          <w:p>
            <w:pPr>
              <w:spacing w:line="240" w:lineRule="auto" w:after="0"/>
            </w:pPr>
            <w:r/>
            <w:r>
              <w:rPr>
                <w:rFonts w:ascii="Times New Roman" w:hAnsi="Times New Roman" w:eastAsia="Times New Roman"/>
                <w:b w:val="0"/>
                <w:i w:val="0"/>
                <w:sz w:val="20"/>
              </w:rPr>
              <w:t>10.1016/j.jhep.2025.06.005</w:t>
            </w:r>
          </w:p>
        </w:tc>
      </w:tr>
      <w:tr>
        <w:tc>
          <w:tcPr>
            <w:tcW w:type="dxa" w:w="1337"/>
          </w:tcPr>
          <w:p>
            <w:pPr>
              <w:spacing w:line="240" w:lineRule="auto" w:after="0"/>
            </w:pPr>
            <w:r/>
            <w:r>
              <w:rPr>
                <w:rFonts w:ascii="Times New Roman" w:hAnsi="Times New Roman" w:eastAsia="Times New Roman"/>
                <w:b w:val="0"/>
                <w:i w:val="0"/>
                <w:sz w:val="20"/>
              </w:rPr>
              <w:t>CASE-022</w:t>
            </w:r>
          </w:p>
        </w:tc>
        <w:tc>
          <w:tcPr>
            <w:tcW w:type="dxa" w:w="1337"/>
          </w:tcPr>
          <w:p>
            <w:pPr>
              <w:spacing w:line="240" w:lineRule="auto" w:after="0"/>
            </w:pPr>
            <w:r/>
            <w:r>
              <w:rPr>
                <w:rFonts w:ascii="Times New Roman" w:hAnsi="Times New Roman" w:eastAsia="Times New Roman"/>
                <w:b w:val="0"/>
                <w:i w:val="0"/>
                <w:sz w:val="20"/>
              </w:rPr>
              <w:t>Evening blue-light avoidance</w:t>
            </w:r>
          </w:p>
        </w:tc>
        <w:tc>
          <w:tcPr>
            <w:tcW w:type="dxa" w:w="1337"/>
          </w:tcPr>
          <w:p>
            <w:pPr>
              <w:spacing w:line="240" w:lineRule="auto" w:after="0"/>
            </w:pPr>
            <w:r/>
            <w:r>
              <w:rPr>
                <w:rFonts w:ascii="Times New Roman" w:hAnsi="Times New Roman" w:eastAsia="Times New Roman"/>
                <w:b w:val="0"/>
                <w:i w:val="0"/>
                <w:sz w:val="20"/>
              </w:rPr>
              <w:t>D</w:t>
            </w:r>
          </w:p>
        </w:tc>
        <w:tc>
          <w:tcPr>
            <w:tcW w:type="dxa" w:w="1337"/>
          </w:tcPr>
          <w:p>
            <w:pPr>
              <w:spacing w:line="240" w:lineRule="auto" w:after="0"/>
            </w:pPr>
            <w:r/>
            <w:r>
              <w:rPr>
                <w:rFonts w:ascii="Times New Roman" w:hAnsi="Times New Roman" w:eastAsia="Times New Roman"/>
                <w:b w:val="0"/>
                <w:i w:val="0"/>
                <w:sz w:val="20"/>
              </w:rPr>
              <w:t>12 adults, crossover</w:t>
            </w:r>
          </w:p>
        </w:tc>
        <w:tc>
          <w:tcPr>
            <w:tcW w:type="dxa" w:w="1337"/>
          </w:tcPr>
          <w:p>
            <w:pPr>
              <w:spacing w:line="240" w:lineRule="auto" w:after="0"/>
            </w:pPr>
            <w:r/>
            <w:r>
              <w:rPr>
                <w:rFonts w:ascii="Times New Roman" w:hAnsi="Times New Roman" w:eastAsia="Times New Roman"/>
                <w:b w:val="0"/>
                <w:i w:val="0"/>
                <w:sz w:val="20"/>
              </w:rPr>
              <w:t>Melatonin suppressed &gt; 55%</w:t>
            </w:r>
          </w:p>
        </w:tc>
        <w:tc>
          <w:tcPr>
            <w:tcW w:type="dxa" w:w="1337"/>
          </w:tcPr>
          <w:p>
            <w:pPr>
              <w:spacing w:line="240" w:lineRule="auto" w:after="0"/>
            </w:pPr>
            <w:r/>
            <w:r>
              <w:rPr>
                <w:rFonts w:ascii="Times New Roman" w:hAnsi="Times New Roman" w:eastAsia="Times New Roman"/>
                <w:b w:val="0"/>
                <w:i w:val="0"/>
                <w:sz w:val="20"/>
              </w:rPr>
              <w:t>L2</w:t>
            </w:r>
          </w:p>
        </w:tc>
        <w:tc>
          <w:tcPr>
            <w:tcW w:type="dxa" w:w="1337"/>
          </w:tcPr>
          <w:p>
            <w:pPr>
              <w:spacing w:line="240" w:lineRule="auto" w:after="0"/>
            </w:pPr>
            <w:r/>
            <w:r>
              <w:rPr>
                <w:rFonts w:ascii="Times New Roman" w:hAnsi="Times New Roman" w:eastAsia="Times New Roman"/>
                <w:b w:val="0"/>
                <w:i w:val="0"/>
                <w:sz w:val="20"/>
              </w:rPr>
              <w:t>10.1073/pnas.1418490112</w:t>
            </w:r>
          </w:p>
        </w:tc>
      </w:tr>
      <w:tr>
        <w:tc>
          <w:tcPr>
            <w:tcW w:type="dxa" w:w="1337"/>
          </w:tcPr>
          <w:p>
            <w:pPr>
              <w:spacing w:line="240" w:lineRule="auto" w:after="0"/>
            </w:pPr>
            <w:r/>
            <w:r>
              <w:rPr>
                <w:rFonts w:ascii="Times New Roman" w:hAnsi="Times New Roman" w:eastAsia="Times New Roman"/>
                <w:b w:val="0"/>
                <w:i w:val="0"/>
                <w:sz w:val="20"/>
              </w:rPr>
              <w:t>CASE-024</w:t>
            </w:r>
          </w:p>
        </w:tc>
        <w:tc>
          <w:tcPr>
            <w:tcW w:type="dxa" w:w="1337"/>
          </w:tcPr>
          <w:p>
            <w:pPr>
              <w:spacing w:line="240" w:lineRule="auto" w:after="0"/>
            </w:pPr>
            <w:r/>
            <w:r>
              <w:rPr>
                <w:rFonts w:ascii="Times New Roman" w:hAnsi="Times New Roman" w:eastAsia="Times New Roman"/>
                <w:b w:val="0"/>
                <w:i w:val="0"/>
                <w:sz w:val="20"/>
              </w:rPr>
              <w:t>Exercise-induced exosomes</w:t>
            </w:r>
          </w:p>
        </w:tc>
        <w:tc>
          <w:tcPr>
            <w:tcW w:type="dxa" w:w="1337"/>
          </w:tcPr>
          <w:p>
            <w:pPr>
              <w:spacing w:line="240" w:lineRule="auto" w:after="0"/>
            </w:pPr>
            <w:r/>
            <w:r>
              <w:rPr>
                <w:rFonts w:ascii="Times New Roman" w:hAnsi="Times New Roman" w:eastAsia="Times New Roman"/>
                <w:b w:val="0"/>
                <w:i w:val="0"/>
                <w:sz w:val="20"/>
              </w:rPr>
              <w:t>B / I</w:t>
            </w:r>
          </w:p>
        </w:tc>
        <w:tc>
          <w:tcPr>
            <w:tcW w:type="dxa" w:w="1337"/>
          </w:tcPr>
          <w:p>
            <w:pPr>
              <w:spacing w:line="240" w:lineRule="auto" w:after="0"/>
            </w:pPr>
            <w:r/>
            <w:r>
              <w:rPr>
                <w:rFonts w:ascii="Times New Roman" w:hAnsi="Times New Roman" w:eastAsia="Times New Roman"/>
                <w:b w:val="0"/>
                <w:i w:val="0"/>
                <w:sz w:val="20"/>
              </w:rPr>
              <w:t>Human exercise studies</w:t>
            </w:r>
          </w:p>
        </w:tc>
        <w:tc>
          <w:tcPr>
            <w:tcW w:type="dxa" w:w="1337"/>
          </w:tcPr>
          <w:p>
            <w:pPr>
              <w:spacing w:line="240" w:lineRule="auto" w:after="0"/>
            </w:pPr>
            <w:r/>
            <w:r>
              <w:rPr>
                <w:rFonts w:ascii="Times New Roman" w:hAnsi="Times New Roman" w:eastAsia="Times New Roman"/>
                <w:b w:val="0"/>
                <w:i w:val="0"/>
                <w:sz w:val="20"/>
              </w:rPr>
              <w:t>Circulating exosomes increased 2–3-fold</w:t>
            </w:r>
          </w:p>
        </w:tc>
        <w:tc>
          <w:tcPr>
            <w:tcW w:type="dxa" w:w="1337"/>
          </w:tcPr>
          <w:p>
            <w:pPr>
              <w:spacing w:line="240" w:lineRule="auto" w:after="0"/>
            </w:pPr>
            <w:r/>
            <w:r>
              <w:rPr>
                <w:rFonts w:ascii="Times New Roman" w:hAnsi="Times New Roman" w:eastAsia="Times New Roman"/>
                <w:b w:val="0"/>
                <w:i w:val="0"/>
                <w:sz w:val="20"/>
              </w:rPr>
              <w:t>L2</w:t>
            </w:r>
          </w:p>
        </w:tc>
        <w:tc>
          <w:tcPr>
            <w:tcW w:type="dxa" w:w="1337"/>
          </w:tcPr>
          <w:p>
            <w:pPr>
              <w:spacing w:line="240" w:lineRule="auto" w:after="0"/>
            </w:pPr>
            <w:r/>
            <w:r>
              <w:rPr>
                <w:rFonts w:ascii="Times New Roman" w:hAnsi="Times New Roman" w:eastAsia="Times New Roman"/>
                <w:b w:val="0"/>
                <w:i w:val="0"/>
                <w:sz w:val="20"/>
              </w:rPr>
              <w:t>10.1186/s12967-026-08038-9</w:t>
            </w:r>
          </w:p>
        </w:tc>
      </w:tr>
      <w:tr>
        <w:tc>
          <w:tcPr>
            <w:tcW w:type="dxa" w:w="1337"/>
          </w:tcPr>
          <w:p>
            <w:pPr>
              <w:spacing w:line="240" w:lineRule="auto" w:after="0"/>
            </w:pPr>
            <w:r/>
            <w:r>
              <w:rPr>
                <w:rFonts w:ascii="Times New Roman" w:hAnsi="Times New Roman" w:eastAsia="Times New Roman"/>
                <w:b w:val="0"/>
                <w:i w:val="0"/>
                <w:sz w:val="20"/>
              </w:rPr>
              <w:t>CASE-014–021</w:t>
            </w:r>
          </w:p>
        </w:tc>
        <w:tc>
          <w:tcPr>
            <w:tcW w:type="dxa" w:w="1337"/>
          </w:tcPr>
          <w:p>
            <w:pPr>
              <w:spacing w:line="240" w:lineRule="auto" w:after="0"/>
            </w:pPr>
            <w:r/>
            <w:r>
              <w:rPr>
                <w:rFonts w:ascii="Times New Roman" w:hAnsi="Times New Roman" w:eastAsia="Times New Roman"/>
                <w:b w:val="0"/>
                <w:i w:val="0"/>
                <w:sz w:val="20"/>
              </w:rPr>
              <w:t>Food-as-medicine</w:t>
            </w:r>
          </w:p>
        </w:tc>
        <w:tc>
          <w:tcPr>
            <w:tcW w:type="dxa" w:w="1337"/>
          </w:tcPr>
          <w:p>
            <w:pPr>
              <w:spacing w:line="240" w:lineRule="auto" w:after="0"/>
            </w:pPr>
            <w:r/>
            <w:r>
              <w:rPr>
                <w:rFonts w:ascii="Times New Roman" w:hAnsi="Times New Roman" w:eastAsia="Times New Roman"/>
                <w:b w:val="0"/>
                <w:i w:val="0"/>
                <w:sz w:val="20"/>
              </w:rPr>
              <w:t>A–H</w:t>
            </w:r>
          </w:p>
        </w:tc>
        <w:tc>
          <w:tcPr>
            <w:tcW w:type="dxa" w:w="1337"/>
          </w:tcPr>
          <w:p>
            <w:pPr>
              <w:spacing w:line="240" w:lineRule="auto" w:after="0"/>
            </w:pPr>
            <w:r/>
            <w:r>
              <w:rPr>
                <w:rFonts w:ascii="Times New Roman" w:hAnsi="Times New Roman" w:eastAsia="Times New Roman"/>
                <w:b w:val="0"/>
                <w:i w:val="0"/>
                <w:sz w:val="20"/>
              </w:rPr>
              <w:t>Classical experience</w:t>
            </w:r>
          </w:p>
        </w:tc>
        <w:tc>
          <w:tcPr>
            <w:tcW w:type="dxa" w:w="1337"/>
          </w:tcPr>
          <w:p>
            <w:pPr>
              <w:spacing w:line="240" w:lineRule="auto" w:after="0"/>
            </w:pPr>
            <w:r/>
            <w:r>
              <w:rPr>
                <w:rFonts w:ascii="Times New Roman" w:hAnsi="Times New Roman" w:eastAsia="Times New Roman"/>
                <w:b w:val="0"/>
                <w:i w:val="0"/>
                <w:sz w:val="20"/>
              </w:rPr>
              <w:t>Nature-flavor axis projection</w:t>
            </w:r>
          </w:p>
        </w:tc>
        <w:tc>
          <w:tcPr>
            <w:tcW w:type="dxa" w:w="1337"/>
          </w:tcPr>
          <w:p>
            <w:pPr>
              <w:spacing w:line="240" w:lineRule="auto" w:after="0"/>
            </w:pPr>
            <w:r/>
            <w:r>
              <w:rPr>
                <w:rFonts w:ascii="Times New Roman" w:hAnsi="Times New Roman" w:eastAsia="Times New Roman"/>
                <w:b w:val="0"/>
                <w:i w:val="0"/>
                <w:sz w:val="20"/>
              </w:rPr>
              <w:t>L3</w:t>
            </w:r>
          </w:p>
        </w:tc>
        <w:tc>
          <w:tcPr>
            <w:tcW w:type="dxa" w:w="1337"/>
          </w:tcPr>
          <w:p>
            <w:pPr>
              <w:spacing w:line="240" w:lineRule="auto" w:after="0"/>
            </w:pPr>
            <w:r/>
            <w:r>
              <w:rPr>
                <w:rFonts w:ascii="Times New Roman" w:hAnsi="Times New Roman" w:eastAsia="Times New Roman"/>
                <w:b w:val="0"/>
                <w:i w:val="0"/>
                <w:sz w:val="20"/>
              </w:rPr>
              <w:t>Shi Liao Ben Cao (Tang dynasty)</w:t>
            </w:r>
          </w:p>
        </w:tc>
      </w:tr>
    </w:tbl>
    <w:p>
      <w:pPr>
        <w:spacing w:line="360" w:lineRule="auto" w:before="120"/>
      </w:pPr>
      <w:r>
        <w:rPr>
          <w:rFonts w:ascii="Times New Roman" w:hAnsi="Times New Roman" w:eastAsia="Times New Roman"/>
          <w:b/>
          <w:i w:val="0"/>
          <w:sz w:val="24"/>
        </w:rPr>
        <w:t xml:space="preserve">Abbreviations: </w:t>
      </w:r>
      <w:r>
        <w:rPr>
          <w:rFonts w:ascii="Times New Roman" w:hAnsi="Times New Roman" w:eastAsia="Times New Roman"/>
          <w:b w:val="0"/>
          <w:i w:val="0"/>
          <w:sz w:val="24"/>
        </w:rPr>
        <w:t>TRE, time-restricted eating; VAT, visceral adipose tissue; HOMA-IR, homeostatic model assessment of insulin resistance; MASLD, metabolic dysfunction-associated steatotic liver disease; D+Q, dasatinib plus quercetin; SASP, senescence-associated secretory phenotype; HSC, hematopoietic stem cell; RCT, randomized controlled trial</w:t>
      </w:r>
      <w:r>
        <w:rPr>
          <w:rFonts w:ascii="Times New Roman" w:hAnsi="Times New Roman" w:eastAsia="Times New Roman"/>
          <w:b w:val="0"/>
          <w:i w:val="0"/>
          <w:sz w:val="24"/>
        </w:rPr>
        <w:t>.</w:t>
      </w:r>
    </w:p>
    <w:p>
      <w:pPr>
        <w:spacing w:line="360" w:lineRule="auto" w:after="120"/>
      </w:pPr>
      <w:r>
        <w:rPr>
          <w:rFonts w:ascii="Times New Roman" w:hAnsi="Times New Roman" w:eastAsia="Times New Roman"/>
          <w:b w:val="0"/>
          <w:i w:val="0"/>
          <w:sz w:val="24"/>
        </w:rPr>
      </w:r>
    </w:p>
    <w:p>
      <w:pPr>
        <w:spacing w:line="360" w:lineRule="auto" w:after="80"/>
      </w:pPr>
      <w:r>
        <w:rPr>
          <w:rFonts w:ascii="Times New Roman" w:hAnsi="Times New Roman" w:eastAsia="Times New Roman"/>
          <w:b/>
          <w:i w:val="0"/>
          <w:sz w:val="24"/>
        </w:rPr>
        <w:t>Fig. 1.</w:t>
      </w:r>
      <w:r>
        <w:rPr>
          <w:rFonts w:ascii="Times New Roman" w:hAnsi="Times New Roman" w:eastAsia="Times New Roman"/>
          <w:b w:val="0"/>
          <w:i w:val="0"/>
          <w:sz w:val="24"/>
        </w:rPr>
        <w:t xml:space="preserve"> Ten steady-state biology axes of the ISSBF</w:t>
      </w:r>
    </w:p>
    <w:p>
      <w:pPr>
        <w:spacing w:line="360" w:lineRule="auto"/>
        <w:ind w:firstLine="720"/>
      </w:pPr>
      <w:r>
        <w:rPr>
          <w:rFonts w:ascii="Times New Roman" w:hAnsi="Times New Roman" w:eastAsia="Times New Roman"/>
          <w:b w:val="0"/>
          <w:i w:val="0"/>
          <w:sz w:val="24"/>
        </w:rPr>
        <w:t>Each axis maps a classical construct to a modern measurable pathway. Solid-edged boxes (A–H) represent the eight initially validated axes; dashed-edged boxes (I, J) represent extended axes added after the initial validation and pending independent computational validation. All axes converge on the ISSBF framework core, which enforces the six paradigm axioms, the fusion methodology, and the Sense-Infer-Intervene-Verify closed loop. Data in the figure are illustrative and refer to the pathways cited in the manuscript.</w:t>
      </w:r>
    </w:p>
    <w:p>
      <w:pPr>
        <w:spacing w:line="360" w:lineRule="auto"/>
        <w:ind w:firstLine="720"/>
      </w:pPr>
      <w:r>
        <w:rPr>
          <w:rFonts w:ascii="Times New Roman" w:hAnsi="Times New Roman" w:eastAsia="Times New Roman"/>
          <w:b/>
          <w:i w:val="0"/>
          <w:sz w:val="24"/>
        </w:rPr>
        <w:t xml:space="preserve">Figure file: </w:t>
      </w:r>
      <w:r>
        <w:rPr>
          <w:rFonts w:ascii="Times New Roman" w:hAnsi="Times New Roman" w:eastAsia="Times New Roman"/>
          <w:b w:val="0"/>
          <w:i w:val="0"/>
          <w:sz w:val="24"/>
        </w:rPr>
        <w:t>Figure1_Ten_Axis_Framework.png (600 dpi, PNG, submitted as a separate file per IMR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