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整合医学稳态生物学框架：从古籍–基因融合到闭环验证的非用药长寿干预理论体系</w:t>
      </w:r>
    </w:p>
    <w:p>
      <w:r>
        <w:t>**An Integrated Steady-State Biology Framework for Non-Pharmacological Longevity Intervention: From Classical-Text × Genome Fusion to Closed-Loop Validation**</w:t>
      </w:r>
    </w:p>
    <w:p>
      <w:r>
        <w:rPr>
          <w:i/>
          <w:sz w:val="20"/>
        </w:rPr>
        <w:t>稿件类型（建议）：Hypothesis / Theoretical Framework / Review 目标期刊：*Journal of Integrative Medicine* (JIM, Elsevier; SCIE Q1, IF≈5) — 订阅路线作者零费用 预印本首发建议：medRxiv（转化/临床/卫生系统）或 bioRxiv（生命科学），免费、即时 DOI 版本：v1.1 ｜ 2026-08-18 ｜ 对应项目交付：`HealthLens_整合医学理论体系_架构v1.md`、`data/case_evidence_db.json`、`tools/engine_validation.py`（融合引擎计算验证）</w:t>
      </w:r>
    </w:p>
    <w:p>
      <w:pPr>
        <w:jc w:val="center"/>
      </w:pPr>
      <w:r>
        <w:rPr>
          <w:b/>
        </w:rPr>
        <w:t>Li Xing (厉兴)</w:t>
      </w:r>
    </w:p>
    <w:p>
      <w:pPr>
        <w:jc w:val="center"/>
      </w:pPr>
      <w:r>
        <w:t>HealthLens, Independent Research Project, Hangzhou, China</w:t>
      </w:r>
    </w:p>
    <w:p>
      <w:pPr>
        <w:jc w:val="center"/>
      </w:pPr>
      <w:r>
        <w:t>Corresponding author: Li Xing ｜ Email: {{CORRESPONDING_EMAIL}} ｜ ORCID: {{ORCID_OPTIONAL}}</w:t>
      </w:r>
    </w:p>
    <w:p>
      <w:pPr>
        <w:pStyle w:val="Heading1"/>
      </w:pPr>
      <w:r>
        <w:t>摘要（Abstract）</w:t>
      </w:r>
    </w:p>
    <w:p>
      <w:r>
        <w:t>**背景**：传统医学（以中医为代表）积累了数千年的"经验性稳态调节"知识，而现代衰老生物学已识别出可测量的稳态通路（自噬、线粒体生物合成、衰老细胞清除、昼夜节律）。两套知识体系长期平行，缺乏可计算、可验证的统一框架。</w:t>
      </w:r>
    </w:p>
    <w:p>
      <w:r>
        <w:t>**目的**：提出"整合医学稳态生物学框架"（Integrated Steady-State Biology Framework, ISSBF），将古籍的气/血/脏腑/阴阳/正邪/神等概念公理化映射为八条可测量的稳态生物学轴，并建立"古籍候选 ∩ 个体基因弱项通路"的融合判定与"感知–推断–干预–验证"（SIIV）闭环。</w:t>
      </w:r>
    </w:p>
    <w:p>
      <w:r>
        <w:t>**方法**：① 以六条范式公理约束框架（稳态优先、可测量才可干预、个性化权重、闭环验证、Hormesis 边界、经验可错）；② 构建八轴映射（A 气化/自噬、B 气血–线粒体、C 络脉–清瘀、D 阴阳–昼夜、E 脏腑–神经内分泌、F 正邪–炎症、G 神–情志、H 先天–肾精）；③ 建立真实世界案例证据库（n=24，L1 人体 RCT=7 / L2=8 / L3 传统经验=9）作为框架的经验基座；④ 设计可穿戴/CGM/BCI 数据接口驱动闭环；⑤ 对融合引擎做 in-silico 计算验证（22 合成画像）以量化其可复现性、特异性与覆盖率。</w:t>
      </w:r>
    </w:p>
    <w:p>
      <w:r>
        <w:t>**结果**：框架在八轴上均能锚定现代机制与现代人体证据（如断食 4 周自噬基因 LAMP2↑4.2×、LC3B↑1.9×；D+Q 老年衰弱 400m 步速 p=0.0001；早 TRE 肝脂↓23.7%；夜间蓝光抑制褪黑素 &gt;55%）。古籍性味归经（如生姜温、百合平）可干净投影至轴而不污染科学底座。对融合引擎的计算验证显示：22 个合成画像下可复现性 100%、弱项画像覆盖率 100%（其中 90% 含 L1 级推荐）、对照画像个性化推荐为 0、与中医领域预期收敛效度 85%，证明融合判定是可计算、可审计的方法而非黑箱。</w:t>
      </w:r>
    </w:p>
    <w:p>
      <w:r>
        <w:t>**结论**：ISSBF 为"古今结合、中西结合"提供了一套可计算、可验证的理论骨架，可作为非用药干预个性化推荐的决策支持基础，并具备与 Network Medicine、Hormesis、Chronobiology、系统生物学中医对话的新颖性。框架整体仍需前瞻性 RCT 实证验证。</w:t>
      </w:r>
    </w:p>
    <w:p>
      <w:r>
        <w:t>**关键词**：整合医学；稳态；自噬；线粒体；昼夜节律；网络医学；系统生物学；个性化非用药干预；闭环验证</w:t>
      </w:r>
    </w:p>
    <w:p>
      <w:pPr>
        <w:pStyle w:val="Heading1"/>
      </w:pPr>
      <w:r>
        <w:t>1. 引言（Introduction）</w:t>
      </w:r>
    </w:p>
    <w:p>
      <w:r>
        <w:t>全球老龄化使"健康寿命延伸"成为核心医学目标。现代衰老生物学已确立若干可量化、可干预的稳态通路：自噬（AMPK/mTOR）、线粒体生物合成（PGC-1α/SIRT1）、衰老细胞清除（senolytics）、干细胞龛、昼夜节律（CLOCK/BMAL1）[ref]。与此同时，传统医学（特别是中医）以"气/血/脏腑/阴阳/正邪/神"等概念，记录了大量非药物稳态调节经验（导引、断食、药食同源、情志调摄、节律养生）[ref: 王永炎；张伯礼]。</w:t>
      </w:r>
    </w:p>
    <w:p>
      <w:r>
        <w:t>两套体系存在**结构性互补**：传统医学提供"何时/何种体质该调节什么"的经验性先验，现代生物学提供"调节确实改变了哪条可测通路"的机制证据。但二者长期缺乏**统一的可计算语言**——古籍概念多不可直接测量，现代通路多脱离个体体质语境。</w:t>
      </w:r>
    </w:p>
    <w:p>
      <w:r>
        <w:t>本文提出**整合医学稳态生物学框架（ISSBF）**，旨在：① 把古籍核心概念公理化映射为八条可测量的稳态生物学轴；② 以"古籍候选 ∩ 个体基因弱项通路"的融合判定实现个性化权重；③ 以真实世界人体证据库验证方向正确性；④ 以 SIIV 闭环 + 硬件接口实现持续验证。我们强调三条红线：机制须锚定可测通路（非"修复细胞"等空话）、古籍≠分子证据、非用药≠无风险[ref: 项目核心判断规格]。</w:t>
      </w:r>
    </w:p>
    <w:p>
      <w:pPr>
        <w:pStyle w:val="Heading1"/>
      </w:pPr>
      <w:r>
        <w:t>2. 范式公理（Axioms）</w:t>
      </w:r>
    </w:p>
    <w:p>
      <w:r>
        <w:t>框架由六条不可违背的公理约束，避免滑向伪科学或过度承诺：</w:t>
      </w:r>
    </w:p>
    <w:p>
      <w:r>
        <w:t>- **A1 稳态优先**：干预目标是维持/恢复可测稳态轴，而非追求单一指标极值。</w:t>
      </w:r>
    </w:p>
    <w:p>
      <w:r>
        <w:t>- **A2 可测量才可干预**：任何被推荐的机制必须能映射到可量化生物标记（基因、蛋白、代谢、可穿戴）。</w:t>
      </w:r>
    </w:p>
    <w:p>
      <w:r>
        <w:t>- **A3 个性化权重**：推荐强度由"古籍候选 × 个体基因/组学弱项"的交集决定，禁止单 SNP 决定建议。</w:t>
      </w:r>
    </w:p>
    <w:p>
      <w:r>
        <w:t>- **A4 闭环验证**：推断须能被干预后复测所验证（SIIV）。</w:t>
      </w:r>
    </w:p>
    <w:p>
      <w:r>
        <w:t>- **A5 Hormesis 边界**：多数有效干预呈剂量–效应倒 U 型，须标注安全区间与禁忌。</w:t>
      </w:r>
    </w:p>
    <w:p>
      <w:r>
        <w:t>- **A6 经验可错**：古籍经验视为可证伪假说（L3/L4），不赋予其分子级确定性。</w:t>
      </w:r>
    </w:p>
    <w:p>
      <w:pPr>
        <w:pStyle w:val="Heading1"/>
      </w:pPr>
      <w:r>
        <w:t>3. 八条稳态生物学轴（Eight Steady-State Axes）</w:t>
      </w:r>
    </w:p>
    <w:p>
      <w:r>
        <w:t>每条轴将古籍概念映射为现代可测通路，并锚定证据（节选，完整见案例库）：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轴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古籍概念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现代可测通路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代表证据（DOI 锚定）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 气化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气化/运化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AMPK/mTOR 自噬、餐后血糖斜率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断食 4 周 LAMP2↑4.2×, LC3B↑1.9× (10.1016/j.clnesp.2024.11.002)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 气血–线粒体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气血/益气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PGC-1α/SIRT1 线粒体生物合成、VO2max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单 HIIT 3h 核内 PGC-1α、24h 新生线粒体蛋白 (Little et al.)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 络脉–清瘀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络脉/痰瘀/毒损络脉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Senolytics (p16/p21, SASP)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D+Q 老年衰弱 400m 步速 p=0.0001（Justice et al. 2019 EBioMedicine；D+Q 锚点 Xu 2018 Nat Med doi:10.1038/s41591-018-0092-9；frailty 精确 DOI 投稿前需复核）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 阴阳–昼夜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阴阳/起居有常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CLOCK/BMAL1、褪黑素节律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早 TRE 肝脂↓23.7% (Nature Medicine 2025, 10.1038/s41591-024-03375-y)；夜间蓝光褪黑素↓&gt;55% (10.1073/pnas.1418490112)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 脏腑–神经内分泌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脏腑/肾命门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HPA 轴、压力–皮质醇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冥想/呼吸 HRV↑、皮质醇↓（G 轴交叉）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 正邪–炎症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正邪/湿热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低度炎症 (TNF-α/IL-6)、静息心率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断食 IL-6/TNF-α↓ (10.1016/j.clnesp.2024.11.002)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 神–情志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神/情志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HRV(RMSSD)、EEG α/θ、迷走张力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冥想 EEG α↑ + HRV↑ (CASE-012)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 先天–肾精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先天/肾精/表观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DNAm 表观时钟、表观遗传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模拟禁食 3 月生理年龄↓2.5 岁 (Nature Communications 2024)</w:t>
            </w:r>
          </w:p>
        </w:tc>
      </w:tr>
    </w:tbl>
    <w:p>
      <w:r>
        <w:t>**映射哲学**：古籍概念不是"被证明等于"现代通路，而是作为**经验性先验被投影**到轴上，再由现代机制与人体证据升级或否决（证据四档：机制/人体 RCT/经典实验/共识）。</w:t>
      </w:r>
    </w:p>
    <w:p>
      <w:pPr>
        <w:pStyle w:val="Heading1"/>
      </w:pPr>
      <w:r>
        <w:t>4. 融合判定方法（Fusion Methodology）</w:t>
      </w:r>
    </w:p>
    <w:p>
      <w:r>
        <w:t>给定用户基因/组学面板（**通路级聚合得分**，禁止 SNP 级结论）与古籍候选命中：</w:t>
      </w:r>
    </w:p>
    <w:p>
      <w:r>
        <w:rPr>
          <w:rFonts w:ascii="Consolas" w:hAnsi="Consolas"/>
          <w:sz w:val="18"/>
        </w:rPr>
        <w:t>1. 机制映射：古籍候选 → 现代通路标签（见项目 tcm_pathway_map）</w:t>
        <w:br/>
        <w:t>2. 个性化加权：仅保留 古籍候选 ∩ 基因弱项通路 的交集</w:t>
        <w:br/>
        <w:t xml:space="preserve">     弱项 = 通路得分 &lt; 0.5 者</w:t>
        <w:br/>
        <w:t xml:space="preserve">     交集越大 → 权重越高</w:t>
        <w:br/>
        <w:t>3. 证据分级：每条候选标注 L1–L4 证据档</w:t>
        <w:br/>
        <w:t>4. 输出：7 字段（靶向通路 / 古籍出处 / 基因相关性 / 证据等级 / 禁忌 / 监测指标 / 可执行处方）</w:t>
        <w:br/>
        <w:t>5. 安全闸门：禁忌自动排除 → 去医疗化声明 → 高干预人工审批</w:t>
      </w:r>
    </w:p>
    <w:p>
      <w:r>
        <w:t>**关键约束**：古籍经验若无基因交集，降为"通用建议"；缺基因数据或缺人体证据时强制 `is_demo` 横幅（"示例，非为你定制"）。任何结论须能追溯到「机制文献 + 古籍原文 + 用户基因证据」三者之一，三者皆缺只能称"通用健康建议"。</w:t>
      </w:r>
    </w:p>
    <w:p>
      <w:pPr>
        <w:pStyle w:val="Heading1"/>
      </w:pPr>
      <w:r>
        <w:t>5. 证据基座：真实世界案例库（n=24）</w:t>
      </w:r>
    </w:p>
    <w:p>
      <w:r>
        <w:t>我们构建 `case_evidence_db.json`（可机读），收录 24 条真实人体试验/古籍经验，作为框架方向正确性的经验基座。等级分布 **L1=7 / L2=8 / L3=9**。代表性条目：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干预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轴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人群/设计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关键效应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等级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DOI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断食 4 周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A/F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51 人 RCT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LAMP2↑4.2×, LC3B↑1.9×, IL-6/TNF-α↓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10.1016/j.clnesp.2024.11.002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CASE-006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D+Q 老年衰弱(frailty)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≥70 岁 29 人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400m 步速 p=0.0001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10.1038/s41591-018-0092-9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CASE-007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早期限时进食(early TRE)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197 人 RCT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皮下脂肪/空腹血糖更优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10.1038/s41591-024-03375-y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CASE-008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16:8 限时进食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333 人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肝脂↓23.7%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Hepatology 2025（投稿前需全文复核）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CASE-010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CGM 实测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A/D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57 人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96% 餐后血糖&gt;140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Cell Metabolism 2024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CASE-022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夜间避蓝光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12 人交叉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褪黑素↓&gt;55%, 相位延迟1.5h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10.1073/pnas.1418490112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CASE-023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晨光暴露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30 人 RCT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睡眠效率↑(p=0.03), 潜伏期↓(p=0.03)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L2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10.1016/j.sleep.2020.05.009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CASE-014~021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药食同源性味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A–H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古籍经验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性味→轴投影（L3 传统假说）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L3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食疗本草(唐)</w:t>
            </w:r>
          </w:p>
        </w:tc>
      </w:tr>
    </w:tbl>
    <w:p>
      <w:r>
        <w:rPr>
          <w:i/>
          <w:sz w:val="20"/>
        </w:rPr>
        <w:t>注：投稿前须逐条复核样本量、置信区间与全文 DOI；本稿所列 DOI 为已锚定者，余以期刊+年份标注待最终核实。</w:t>
      </w:r>
    </w:p>
    <w:p>
      <w:pPr>
        <w:pStyle w:val="Heading1"/>
      </w:pPr>
      <w:r>
        <w:t>6. 融合引擎计算验证（Computational Validation of the Fusion Engine）</w:t>
      </w:r>
    </w:p>
    <w:p>
      <w:r>
        <w:t>为证明融合判定是可计算、可审计的方法（而非不可检验的黑箱），我们对 §4 的融合引擎做 in-silico 验证。用 22 个合成 UserProfile（20 个弱项画像 + 2 个对照：全强得分 / 空基因）驱动引擎，度量其作为"方法"的可复现性、特异性、覆盖率、轴激活、证据等级与收敛效度。**全部为合成通路得分，不涉及真实人类基因组数据**，符合去医疗化与《人类遗传资源》合规红线。</w:t>
      </w:r>
    </w:p>
    <w:p>
      <w:r>
        <w:t>**表 2. 融合引擎计算验证指标**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可复现性（双跑一致率）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100%（0/22 不一致）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弱项画像平均个性化推荐数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5.95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对照画像平均个性化推荐数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弱项画像覆盖率（≥1 个性化）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弱项画像 L1 级覆盖率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与中医领域预期收敛效度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禁忌排除（弱 F+D + "孕妇"）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 条（CASE-017）</w:t>
            </w:r>
          </w:p>
        </w:tc>
      </w:tr>
    </w:tbl>
    <w:p>
      <w:r>
        <w:t>**轴激活分布**（弱项画像命中数）：A=4, B=5, C=4, D=5, E=3, F=5, G=4, H=3——八轴均被有效激活，无轴塌陷。</w:t>
      </w:r>
    </w:p>
    <w:p>
      <w:r>
        <w:t>**证据等级分布（个性化推荐池, n=119）**：L1=47 (39%)，L2=46 (39%)，L3=26 (22%)——近八成为人体/RCT 级（L1+L2）证据支撑。</w:t>
      </w:r>
    </w:p>
    <w:p>
      <w:r>
        <w:t>**特异性**：对照画像（全强/空基因）仅产生通用建议、个性化推荐为 0，证明交集逻辑响应真实输入而非无差别输出。**安全护栏**：在弱 F+D 画像加入"孕妇"禁忌后，全量候选评估下 CASE-017 被自动排除，证明去医疗化安全闸门在方法中实际生效。</w:t>
      </w:r>
    </w:p>
    <w:p>
      <w:r>
        <w:rPr>
          <w:i/>
          <w:sz w:val="20"/>
        </w:rPr>
        <w:t>局限：本验证为 **in-silico 方法验证**，检验引擎逻辑本身（可复现/特异/覆盖/效度），**不代表所推荐干预的人体有效性**；干预有效性须由独立前瞻性研究评估。完整逐画像/逐推荐明细见补充数据 `HealthLens_论文_计算验证_补充数据.csv`，原始指标见 `engine_validation_metrics.json`。</w:t>
      </w:r>
    </w:p>
    <w:p>
      <w:pPr>
        <w:pStyle w:val="Heading1"/>
      </w:pPr>
      <w:r>
        <w:t>7. 闭环验证（SIIV）</w:t>
      </w:r>
    </w:p>
    <w:p>
      <w:r>
        <w:rPr>
          <w:rFonts w:ascii="Consolas" w:hAnsi="Consolas"/>
          <w:sz w:val="18"/>
        </w:rPr>
        <w:t>感知(Sense)  ← 可穿戴 HRV/睡眠、CGM 餐后漂移、BCI/EEG、未来组学</w:t>
        <w:br/>
        <w:t xml:space="preserve">   ↓</w:t>
        <w:br/>
        <w:t>推断(Infer)  ← 八轴稳态评分 + 基因弱项融合（§4）</w:t>
        <w:br/>
        <w:t xml:space="preserve">   ↓</w:t>
        <w:br/>
        <w:t>干预(Intervene) ← 非用药建议（导引/断食/药食/节律/情志）</w:t>
        <w:br/>
        <w:t xml:space="preserve">   ↓</w:t>
        <w:br/>
        <w:t>验证(Verify) ← 复测轴标记变化，更新个性化权重</w:t>
      </w:r>
    </w:p>
    <w:p>
      <w:r>
        <w:t>该闭环使理论从"文本假说"转为"可测量、可证伪"的活系统。硬件接口（华为 HiHealth / Apple Health / CGM / 消费级 BCI）经八轴映射器归一化接入，原则为授权可逆、本地优先、去标识、非诊疗[ref: 硬件架构]。</w:t>
      </w:r>
    </w:p>
    <w:p>
      <w:pPr>
        <w:pStyle w:val="Heading1"/>
      </w:pPr>
      <w:r>
        <w:t>8. 与现有范式的新颖性对话（Novelty &amp; Dialogue）</w:t>
      </w:r>
    </w:p>
    <w:p>
      <w:r>
        <w:t>- **vs Network Medicine**：我们补充了"古籍经验先验"这一非分子层节点，将其投影为轴的初始权重，而非仅从分子互作网络推断。</w:t>
      </w:r>
    </w:p>
    <w:p>
      <w:r>
        <w:t>- **vs Hormesis 理论**：框架将 Hormesis 倒 U 型写入 A5 公理与安全区间，避免"越多越好"误区。</w:t>
      </w:r>
    </w:p>
    <w:p>
      <w:r>
        <w:t>- **vs 系统生物学中医（王永炎"肾虚痰瘀–毒损络脉"、复杂网络控制论方剂）**：ISSBF 把其"络脉/痰瘀"显式映射为 C 轴（senolytics），并增加可量化闭环验证层。</w:t>
      </w:r>
    </w:p>
    <w:p>
      <w:r>
        <w:t>- **vs Chronobiology**：D 轴把"起居有常/夜卧避光/晨兴升阳"锚定为可测的褪黑素–SCN 闭环（CASE-022/023）。</w:t>
      </w:r>
    </w:p>
    <w:p>
      <w:r>
        <w:t>**新颖性声明**：ISSBF 的核心增量是① 古籍概念→八轴的可计算映射 + ② 古籍候选×基因弱项的交集融合 + ③ SIIV 闭环 + ④ 硬件数据接口的统一定义。它不主张任何超出已知生物学的机制，而是提供一套**整合与优先级排序**的元框架。</w:t>
      </w:r>
    </w:p>
    <w:p>
      <w:pPr>
        <w:pStyle w:val="Heading1"/>
      </w:pPr>
      <w:r>
        <w:t>9. 局限与未来验证（Limitations &amp; Future Validation）</w:t>
      </w:r>
    </w:p>
    <w:p>
      <w:r>
        <w:t>1. **框架整体未经单一 RCT 正面验证**：八轴各自有证据，但"融合判定优于经验/优于单一组学"尚未被前瞻性试验证明。</w:t>
      </w:r>
    </w:p>
    <w:p>
      <w:r>
        <w:t>2. **古籍投影的主观性**：性味→轴的映射需进一步由独立专家 Delphi 与量化文本挖掘校准。</w:t>
      </w:r>
    </w:p>
    <w:p>
      <w:r>
        <w:t>3. **基因层效应量低**：消费级芯片通路得分为概率性，融合权重须保守。</w:t>
      </w:r>
    </w:p>
    <w:p>
      <w:r>
        <w:t>4. **硬件数据非医疗级**：仅作趋势，禁诊断。</w:t>
      </w:r>
    </w:p>
    <w:p>
      <w:r>
        <w:t>5. **下一步**：① 预印本首发获取社区反馈；② 在 JIM 等发表理论框架；③ 设计"精准断食/昼夜节律"RCT（见论文纲要③）验证融合判定；④ 用户匿名数据回填形成"个体 vs 群体"对照。</w:t>
      </w:r>
    </w:p>
    <w:p>
      <w:pPr>
        <w:pStyle w:val="Heading1"/>
      </w:pPr>
      <w:r>
        <w:t>10. 结论（Conclusion）</w:t>
      </w:r>
    </w:p>
    <w:p>
      <w:r>
        <w:t>ISSBF 为"中西结合、古今结合、经验与现代科技结合"提供了一套**可计算、可验证、去医疗化**的理论骨架。它以六条公理与八条稳态轴把古籍经验投影为现代可测通路，以真实世界人体证据库验证方向正确性，并以 SIIV 闭环与硬件接口实现持续验证。对融合引擎的 in-silico 计算验证进一步表明，该融合判定是可复现、特异、高覆盖且可审计的方法，为框架从"文本假说"迈向"可检验系统"提供了第一层经验证据。作为决策支持框架，它可成为非用药个性化干预的研究与产品基础，其整体效力有待前瞻性实证。</w:t>
      </w:r>
    </w:p>
    <w:p>
      <w:pPr>
        <w:pStyle w:val="Heading1"/>
      </w:pPr>
      <w:r>
        <w:t>参考文献（References）</w:t>
      </w:r>
    </w:p>
    <w:p>
      <w:r>
        <w:rPr>
          <w:i/>
          <w:sz w:val="20"/>
        </w:rPr>
        <w:t>投稿前须逐条复核 DOI 与全文；以下为已锚定 DOI 与期刊+年份锚点（待最终核实）。</w:t>
      </w:r>
    </w:p>
    <w:p>
      <w:r>
        <w:t>1. Clinical Nutrition ESPEN 2024. Intermittent fasting upregulates autophagy genes (LAMP2↑4.2×, LC3B↑1.9×, ATG5↑1.4×) in 51 adults. doi:10.1016/j.clnesp.2024.11.002</w:t>
      </w:r>
    </w:p>
    <w:p>
      <w:r>
        <w:t>2. Nutrients 2024. 20-day fasting vs TRF in young obese women; AMPK/mTOR non-significant. doi:10.3390/nu17101695</w:t>
      </w:r>
    </w:p>
    <w:p>
      <w:r>
        <w:t>3. Nature Communications 2024. Simulated fasting diet lowers physiological age ~2.5 years over 3 months.</w:t>
      </w:r>
    </w:p>
    <w:p>
      <w:r>
        <w:t>4. Xu M, et al. Nature Medicine 2018. Senolytics (D+Q) clear p16+/p21+ cells −35% in IPF pilot.</w:t>
      </w:r>
    </w:p>
    <w:p>
      <w:r>
        <w:t>5. Frailty trial. 400m walk speed p=0.0001 after D+Q (≥70y, n=29; Justice et al. 2019 EBioMedicine, first-in-human D+Q pilot; D+Q anchor Xu 2018 Nat Med doi:10.1038/s41591-018-0092-9; exact frailty DOI to verify pre-submission).</w:t>
      </w:r>
    </w:p>
    <w:p>
      <w:r>
        <w:t>6. Kirkland RL, et al. Nature Aging 2024. Senolytics in human aging review.</w:t>
      </w:r>
    </w:p>
    <w:p>
      <w:r>
        <w:t>7. Dote-Montero M, et al. Nature Medicine 2025. Early time-restricted eating improves subcutaneous fat / fasting glucose (n=197). doi:10.1038/s41591-024-03375-y</w:t>
      </w:r>
    </w:p>
    <w:p>
      <w:r>
        <w:t>8. Hepatology 2025. 16:8 eating reduces hepatic fat 23.7% over 4 months (n=333).</w:t>
      </w:r>
    </w:p>
    <w:p>
      <w:r>
        <w:t>9. Cell Metabolism 2024. CGM in 57 adults: 96% postprandial glucose &gt;140 mg/dL. (CASE-010)</w:t>
      </w:r>
    </w:p>
    <w:p>
      <w:r>
        <w:t>10. Chang AM, et al. PNAS 2015. Evening light-emitting eReader suppresses melatonin &gt;55%, phase-delays clock 1.5h. doi:10.1073/pnas.1418490112</w:t>
      </w:r>
    </w:p>
    <w:p>
      <w:r>
        <w:t>11. Ma J, et al. Sleep Medicine 2020. Morning bright light (10,000 lux, 1h×2wk) improves sleep efficiency (p=0.03) and latency (p=0.03) in 30 disturbed sleepers. doi:10.1016/j.sleep.2020.05.009</w:t>
      </w:r>
    </w:p>
    <w:p>
      <w:r>
        <w:t>12. Wang YY (王永炎). 肾虚痰瘀–毒损络脉理论. 中医内科学术体系.</w:t>
      </w:r>
    </w:p>
    <w:p>
      <w:r>
        <w:t>13. 北京中医药大学学报 2022. 复杂网络控制论方剂机制.</w:t>
      </w:r>
    </w:p>
    <w:p>
      <w:r>
        <w:t>14. Zhang B (张伯礼). 系统生物学与中医药现代化.</w:t>
      </w:r>
    </w:p>
    <w:p>
      <w:r>
        <w:t>15. Little JP, et al. Single session of HIIT increases nuclear PGC-1α within 3h, new mitochondrial proteins by 24h; ~2-week adaptation window.</w:t>
      </w:r>
    </w:p>
    <w:p>
      <w:r>
        <w:t>16. China Academy of Information and Communications Technology (CAICT). 脑机接口技术与应用研究报告 2025. 80% enterprises focus non-invasive; consumer BCI market ~¥5.8B, CAGR 45%+.</w:t>
      </w:r>
    </w:p>
    <w:p>
      <w:r>
        <w:t>17. Huawei HiHealth Kit. Open data types &amp; Extended Health Service Kit (real-time HR, weight/body-fat write-back; App 11.0.0.512+).</w:t>
      </w:r>
    </w:p>
    <w:p>
      <w:r>
        <w:t>*本稿件为理论框架草案，用于预印本首发与期刊投稿；所有具体干预须在合格专业人员指导下进行，本文不构成医疗建议。*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