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Professional Judgment</w:t>
      </w:r>
    </w:p>
    <w:p>
      <w:r>
        <w:t>Based on Chapter 11, I would classify generative AI as a breakthrough with Potential Promethean significance, instead of a confirmed civilization-changing technology. It might diminish the need for direct human action in knowledge production across myriad spaces, but the evidence provided does not illustrate irreversible barrier dissolution across multiple tiers of society. I am moderately confident about its breakthrough significance and less sure about the stronger prospective classification.</w:t>
      </w:r>
    </w:p>
    <w:p>
      <w:r>
        <w:t>For a management consulting firm, this broader potential should encourage cautious experimentation rather than immediate, all-around adoption. Perhaps a limited pilot for research preparation, analytical assistance and draft deliverables, with human review, source verification and client confidentiality controls. The firm should measure time savings, errors, rework and costs against existing workflows before expanding use.</w:t>
      </w:r>
    </w:p>
    <w:p>
      <w:r>
        <w:t>The classification can undergo reconsideration if there are substantial improvements and it is demonstrated that economic and cognitive/social systems had become durably dependent on generative AI with limited viable substitutes.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