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9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4"/>
        <w:gridCol w:w="973"/>
        <w:gridCol w:w="5367"/>
      </w:tblGrid>
      <w:tr w14:paraId="255A8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2594" w:type="dxa"/>
            <w:shd w:val="clear" w:color="auto" w:fill="DCE7FA"/>
          </w:tcPr>
          <w:p w14:paraId="4FA8D4E9">
            <w:pPr>
              <w:spacing w:after="20"/>
              <w:rPr>
                <w:rFonts w:hint="eastAsia" w:eastAsia="宋体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lang w:eastAsia="zh-CN"/>
              </w:rPr>
              <w:t>相关信息</w:t>
            </w:r>
            <w:bookmarkStart w:id="0" w:name="_GoBack"/>
            <w:bookmarkEnd w:id="0"/>
          </w:p>
        </w:tc>
        <w:tc>
          <w:tcPr>
            <w:tcW w:w="973" w:type="dxa"/>
            <w:shd w:val="clear" w:color="auto" w:fill="DCE7FA"/>
          </w:tcPr>
          <w:p w14:paraId="4AC147CE">
            <w:pPr>
              <w:spacing w:after="20"/>
            </w:pPr>
            <w:r>
              <w:rPr>
                <w:rFonts w:ascii="黑体" w:hAnsi="黑体" w:eastAsia="黑体"/>
                <w:b/>
                <w:sz w:val="19"/>
              </w:rPr>
              <w:t>分值</w:t>
            </w:r>
          </w:p>
        </w:tc>
        <w:tc>
          <w:tcPr>
            <w:tcW w:w="5367" w:type="dxa"/>
            <w:shd w:val="clear" w:color="auto" w:fill="DCE7FA"/>
          </w:tcPr>
          <w:p w14:paraId="614D3DB1">
            <w:pPr>
              <w:spacing w:after="20"/>
            </w:pPr>
            <w:r>
              <w:rPr>
                <w:rFonts w:ascii="黑体" w:hAnsi="黑体" w:eastAsia="黑体"/>
                <w:b/>
                <w:sz w:val="19"/>
              </w:rPr>
              <w:t>满分信号</w:t>
            </w:r>
          </w:p>
        </w:tc>
      </w:tr>
      <w:tr w14:paraId="050F6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2" w:hRule="atLeast"/>
          <w:jc w:val="center"/>
        </w:trPr>
        <w:tc>
          <w:tcPr>
            <w:tcW w:w="2594" w:type="dxa"/>
          </w:tcPr>
          <w:p w14:paraId="4DEA3E1F">
            <w:pPr>
              <w:spacing w:after="20" w:line="288" w:lineRule="auto"/>
            </w:pPr>
            <w:r>
              <w:rPr>
                <w:rFonts w:ascii="宋体" w:hAnsi="宋体" w:eastAsia="宋体"/>
                <w:b w:val="0"/>
                <w:sz w:val="19"/>
              </w:rPr>
              <w:t>RFID 读卡通信原理</w:t>
            </w:r>
          </w:p>
        </w:tc>
        <w:tc>
          <w:tcPr>
            <w:tcW w:w="973" w:type="dxa"/>
          </w:tcPr>
          <w:p w14:paraId="4CD0D4AD">
            <w:pPr>
              <w:spacing w:after="20" w:line="288" w:lineRule="auto"/>
            </w:pPr>
            <w:r>
              <w:rPr>
                <w:rFonts w:ascii="宋体" w:hAnsi="宋体" w:eastAsia="宋体"/>
                <w:b w:val="0"/>
                <w:sz w:val="19"/>
              </w:rPr>
              <w:t>20</w:t>
            </w:r>
          </w:p>
        </w:tc>
        <w:tc>
          <w:tcPr>
            <w:tcW w:w="5367" w:type="dxa"/>
          </w:tcPr>
          <w:p w14:paraId="22548929">
            <w:pPr>
              <w:spacing w:after="20" w:line="288" w:lineRule="auto"/>
              <w:rPr>
                <w:rFonts w:hint="eastAsia"/>
                <w:b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lang w:eastAsia="zh-CN"/>
              </w:rPr>
              <w:t>读卡器通信方式是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USB虚拟串口</w:t>
            </w:r>
          </w:p>
          <w:p w14:paraId="4570B05E">
            <w:pPr>
              <w:spacing w:after="20" w:line="288" w:lineRule="auto"/>
              <w:rPr>
                <w:rFonts w:hint="eastAsia"/>
                <w:b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 xml:space="preserve">波特率：57600  </w:t>
            </w:r>
          </w:p>
          <w:p w14:paraId="5F66C459">
            <w:pPr>
              <w:spacing w:after="20" w:line="288" w:lineRule="auto"/>
              <w:rPr>
                <w:rFonts w:hint="eastAsia"/>
                <w:b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卡号编码：形式为STR字符串，内容是十六进制</w:t>
            </w:r>
          </w:p>
          <w:p w14:paraId="388E5164">
            <w:pPr>
              <w:spacing w:after="20" w:line="288" w:lineRule="auto"/>
              <w:rPr>
                <w:rFonts w:hint="eastAsia"/>
                <w:b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原始数据解析：把读卡器的原始输出归一化成标准卡号。</w:t>
            </w:r>
          </w:p>
          <w:p w14:paraId="4B73BC6F">
            <w:pPr>
              <w:spacing w:after="20" w:line="288" w:lineRule="auto"/>
              <w:rPr>
                <w:rFonts w:hint="eastAsia"/>
                <w:b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一句话：读取输入的卡号数据，将其处理成标准的卡号。</w:t>
            </w:r>
          </w:p>
          <w:p w14:paraId="5B57D9E6">
            <w:pPr>
              <w:spacing w:after="20" w:line="288" w:lineRule="auto"/>
              <w:rPr>
                <w:rFonts w:hint="eastAsia" w:eastAsia="宋体"/>
                <w:b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（</w:t>
            </w:r>
            <w:r>
              <w:rPr>
                <w:rFonts w:ascii="宋体" w:hAnsi="宋体" w:eastAsia="宋体"/>
                <w:b w:val="0"/>
                <w:color w:val="0000FF"/>
                <w:sz w:val="21"/>
              </w:rPr>
              <w:t>校验通过才算一帧有效数据</w:t>
            </w:r>
            <w:r>
              <w:rPr>
                <w:rFonts w:hint="eastAsia"/>
                <w:b w:val="0"/>
                <w:color w:val="0000FF"/>
                <w:sz w:val="21"/>
                <w:lang w:eastAsia="zh-CN"/>
              </w:rPr>
              <w:t>）</w:t>
            </w:r>
          </w:p>
          <w:p w14:paraId="0C2B69E8">
            <w:pPr>
              <w:spacing w:after="20" w:line="288" w:lineRule="auto"/>
              <w:rPr>
                <w:rFonts w:hint="eastAsia"/>
                <w:b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具体处理步骤：</w:t>
            </w:r>
          </w:p>
          <w:p w14:paraId="4447E836">
            <w:pPr>
              <w:spacing w:after="20" w:line="288" w:lineRule="auto"/>
              <w:rPr>
                <w:rFonts w:hint="eastAsia"/>
                <w:b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1. bytes -&gt; str：先按 ASCII 解码（绝大多数读卡器输出 ASCII 字符）；</w:t>
            </w:r>
          </w:p>
          <w:p w14:paraId="530812B2">
            <w:pPr>
              <w:spacing w:after="20" w:line="288" w:lineRule="auto"/>
              <w:rPr>
                <w:rFonts w:hint="eastAsia"/>
                <w:b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解不出来说明是二进制裸数据，直接转成大写十六进制字符串。</w:t>
            </w:r>
          </w:p>
          <w:p w14:paraId="51F32036">
            <w:pPr>
              <w:spacing w:after="20" w:line="288" w:lineRule="auto"/>
              <w:rPr>
                <w:rFonts w:hint="eastAsia"/>
                <w:b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2. 丢掉所有不可打印字符 -&gt; 干掉 \r \n \x02 \x03 这类帧控制符。</w:t>
            </w:r>
          </w:p>
          <w:p w14:paraId="00CE6544">
            <w:pPr>
              <w:spacing w:after="20" w:line="288" w:lineRule="auto"/>
              <w:rPr>
                <w:rFonts w:hint="eastAsia"/>
                <w:b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3. 丢掉空格、冒号、横线、逗号等分隔符 -&gt; "E0 4A-1B:2C" 变成 "E04A1B2C"。</w:t>
            </w:r>
          </w:p>
          <w:p w14:paraId="6409FC82">
            <w:pPr>
              <w:spacing w:after="20" w:line="288" w:lineRule="auto"/>
              <w:rPr>
                <w:rFonts w:hint="eastAsia"/>
                <w:b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4. 统一转大写 -&gt; 避免 e04a1b2c 与 E04A1B2C 被当成两张卡。</w:t>
            </w:r>
          </w:p>
          <w:p w14:paraId="290F423C">
            <w:pPr>
              <w:spacing w:after="20" w:line="288" w:lineRule="auto"/>
              <w:rPr>
                <w:rFonts w:hint="eastAsia"/>
                <w:b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5. 去掉可能存在的 "0X" 前缀。</w:t>
            </w:r>
          </w:p>
          <w:p w14:paraId="745A7A3A">
            <w:pPr>
              <w:spacing w:after="20" w:line="288" w:lineRule="auto"/>
            </w:pPr>
            <w:r>
              <w:rPr>
                <w:rFonts w:hint="eastAsia"/>
                <w:b w:val="0"/>
                <w:sz w:val="19"/>
                <w:lang w:val="en-US" w:eastAsia="zh-CN"/>
              </w:rPr>
              <w:t>脏数据过滤逻辑：</w:t>
            </w:r>
            <w:r>
              <w:drawing>
                <wp:inline distT="0" distB="0" distL="114300" distR="114300">
                  <wp:extent cx="2290445" cy="238760"/>
                  <wp:effectExtent l="0" t="0" r="10795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445" cy="23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114272">
            <w:pPr>
              <w:spacing w:after="20" w:line="288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先定义一个函数，用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BOOL来判断卡号是不是空的，and是判断卡号是不是十六进制</w:t>
            </w:r>
          </w:p>
        </w:tc>
      </w:tr>
      <w:tr w14:paraId="1589D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2" w:hRule="atLeast"/>
          <w:jc w:val="center"/>
        </w:trPr>
        <w:tc>
          <w:tcPr>
            <w:tcW w:w="2594" w:type="dxa"/>
          </w:tcPr>
          <w:p w14:paraId="759E4B89">
            <w:pPr>
              <w:spacing w:after="20" w:line="288" w:lineRule="auto"/>
            </w:pPr>
            <w:r>
              <w:rPr>
                <w:rFonts w:ascii="宋体" w:hAnsi="宋体" w:eastAsia="宋体"/>
                <w:b w:val="0"/>
                <w:sz w:val="19"/>
              </w:rPr>
              <w:t>业务与数据库逻辑</w:t>
            </w:r>
          </w:p>
        </w:tc>
        <w:tc>
          <w:tcPr>
            <w:tcW w:w="973" w:type="dxa"/>
          </w:tcPr>
          <w:p w14:paraId="40C1599B">
            <w:pPr>
              <w:spacing w:after="20" w:line="288" w:lineRule="auto"/>
            </w:pPr>
            <w:r>
              <w:rPr>
                <w:rFonts w:ascii="宋体" w:hAnsi="宋体" w:eastAsia="宋体"/>
                <w:b w:val="0"/>
                <w:sz w:val="19"/>
              </w:rPr>
              <w:t>15</w:t>
            </w:r>
          </w:p>
        </w:tc>
        <w:tc>
          <w:tcPr>
            <w:tcW w:w="5367" w:type="dxa"/>
          </w:tcPr>
          <w:p w14:paraId="2272F97C">
            <w:pPr>
              <w:spacing w:after="20" w:line="288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3077845" cy="1003300"/>
                  <wp:effectExtent l="0" t="0" r="635" b="2540"/>
                  <wp:docPr id="2" name="图片 2" descr="屏幕截图 2026-10-29 160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6-10-29 16080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845" cy="100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3082290" cy="1030605"/>
                  <wp:effectExtent l="0" t="0" r="11430" b="5715"/>
                  <wp:docPr id="3" name="图片 3" descr="屏幕截图 2026-10-29 160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6-10-29 16075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2290" cy="103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3084830" cy="807085"/>
                  <wp:effectExtent l="0" t="0" r="8890" b="635"/>
                  <wp:docPr id="4" name="图片 4" descr="屏幕截图 2026-10-29 160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6-10-29 16074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4830" cy="80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3091815" cy="411480"/>
                  <wp:effectExtent l="0" t="0" r="1905" b="0"/>
                  <wp:docPr id="5" name="图片 5" descr="屏幕截图 2026-10-29 160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6-10-29 16081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1815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DF674">
            <w:pPr>
              <w:spacing w:after="20" w:line="288" w:lineRule="auto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一共有四个表，前三个表是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id为主键，</w:t>
            </w:r>
            <w:r>
              <w:rPr>
                <w:rFonts w:hint="eastAsia"/>
                <w:sz w:val="18"/>
                <w:szCs w:val="18"/>
                <w:lang w:eastAsia="zh-CN"/>
              </w:rPr>
              <w:t>设置表以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key-value的形式设计，key是主键。</w:t>
            </w:r>
          </w:p>
          <w:p w14:paraId="01AA3E86">
            <w:pPr>
              <w:spacing w:after="20" w:line="288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如何判断签到还是签退：</w:t>
            </w:r>
          </w:p>
          <w:p w14:paraId="3A04A73F">
            <w:pPr>
              <w:spacing w:after="20" w:line="288" w:lineRule="auto"/>
            </w:pPr>
            <w:r>
              <w:drawing>
                <wp:inline distT="0" distB="0" distL="114300" distR="114300">
                  <wp:extent cx="2604135" cy="361950"/>
                  <wp:effectExtent l="0" t="0" r="1905" b="3810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B1254">
            <w:pPr>
              <w:spacing w:after="20" w:line="288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调用latest_record_of_day（学生id，当前日期，查询出这个学生的最后一条考勤记录，若有，返回签退，若无，判定为签到。</w:t>
            </w:r>
          </w:p>
        </w:tc>
      </w:tr>
    </w:tbl>
    <w:p w14:paraId="779DEB0C">
      <w:pPr>
        <w:rPr>
          <w:rFonts w:hint="default"/>
          <w:lang w:val="en-US" w:eastAsia="zh-CN"/>
        </w:rPr>
      </w:pPr>
    </w:p>
    <w:tbl>
      <w:tblPr>
        <w:tblStyle w:val="3"/>
        <w:tblW w:w="89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2041"/>
        <w:gridCol w:w="3061"/>
        <w:gridCol w:w="2381"/>
      </w:tblGrid>
      <w:tr w14:paraId="782F7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  <w:shd w:val="clear" w:color="auto" w:fill="DCE7FA"/>
          </w:tcPr>
          <w:p w14:paraId="33BA4A66">
            <w:pPr>
              <w:spacing w:after="20"/>
            </w:pPr>
            <w:r>
              <w:rPr>
                <w:rFonts w:ascii="黑体" w:hAnsi="黑体" w:eastAsia="黑体"/>
                <w:b/>
                <w:sz w:val="19"/>
              </w:rPr>
              <w:t>表</w:t>
            </w:r>
          </w:p>
        </w:tc>
        <w:tc>
          <w:tcPr>
            <w:tcW w:w="2041" w:type="dxa"/>
            <w:shd w:val="clear" w:color="auto" w:fill="DCE7FA"/>
          </w:tcPr>
          <w:p w14:paraId="683F4214">
            <w:pPr>
              <w:spacing w:after="20"/>
            </w:pPr>
            <w:r>
              <w:rPr>
                <w:rFonts w:ascii="黑体" w:hAnsi="黑体" w:eastAsia="黑体"/>
                <w:b/>
                <w:sz w:val="19"/>
              </w:rPr>
              <w:t>主键</w:t>
            </w:r>
          </w:p>
        </w:tc>
        <w:tc>
          <w:tcPr>
            <w:tcW w:w="3061" w:type="dxa"/>
            <w:shd w:val="clear" w:color="auto" w:fill="DCE7FA"/>
          </w:tcPr>
          <w:p w14:paraId="5E61285D">
            <w:pPr>
              <w:spacing w:after="20"/>
            </w:pPr>
            <w:r>
              <w:rPr>
                <w:rFonts w:ascii="黑体" w:hAnsi="黑体" w:eastAsia="黑体"/>
                <w:b/>
                <w:sz w:val="19"/>
              </w:rPr>
              <w:t>核心字段</w:t>
            </w:r>
          </w:p>
        </w:tc>
        <w:tc>
          <w:tcPr>
            <w:tcW w:w="2381" w:type="dxa"/>
            <w:shd w:val="clear" w:color="auto" w:fill="DCE7FA"/>
          </w:tcPr>
          <w:p w14:paraId="202A093E">
            <w:pPr>
              <w:spacing w:after="20"/>
            </w:pPr>
            <w:r>
              <w:rPr>
                <w:rFonts w:ascii="黑体" w:hAnsi="黑体" w:eastAsia="黑体"/>
                <w:b/>
                <w:sz w:val="19"/>
              </w:rPr>
              <w:t>设计理由</w:t>
            </w:r>
          </w:p>
        </w:tc>
      </w:tr>
      <w:tr w14:paraId="5FC11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79343FDE">
            <w:pPr>
              <w:spacing w:after="20" w:line="288" w:lineRule="auto"/>
            </w:pPr>
            <w:r>
              <w:rPr>
                <w:rFonts w:ascii="宋体" w:hAnsi="宋体" w:eastAsia="宋体"/>
                <w:b w:val="0"/>
                <w:sz w:val="19"/>
              </w:rPr>
              <w:t>students</w:t>
            </w:r>
          </w:p>
        </w:tc>
        <w:tc>
          <w:tcPr>
            <w:tcW w:w="2041" w:type="dxa"/>
          </w:tcPr>
          <w:p w14:paraId="7EDAEC92">
            <w:pPr>
              <w:spacing w:after="20" w:line="288" w:lineRule="auto"/>
            </w:pPr>
            <w:r>
              <w:rPr>
                <w:rFonts w:ascii="宋体" w:hAnsi="宋体" w:eastAsia="宋体"/>
                <w:b w:val="0"/>
                <w:sz w:val="19"/>
              </w:rPr>
              <w:t>id 自增（代理主键）；student_no、card_no 加 UNIQUE</w:t>
            </w:r>
          </w:p>
        </w:tc>
        <w:tc>
          <w:tcPr>
            <w:tcW w:w="3061" w:type="dxa"/>
          </w:tcPr>
          <w:p w14:paraId="7C8CDCDA">
            <w:pPr>
              <w:spacing w:after="20" w:line="288" w:lineRule="auto"/>
            </w:pPr>
            <w:r>
              <w:rPr>
                <w:rFonts w:ascii="宋体" w:hAnsi="宋体" w:eastAsia="宋体"/>
                <w:b w:val="0"/>
                <w:sz w:val="19"/>
              </w:rPr>
              <w:t>id / student_no / name / class_name / card_no / created_at</w:t>
            </w:r>
          </w:p>
        </w:tc>
        <w:tc>
          <w:tcPr>
            <w:tcW w:w="2381" w:type="dxa"/>
          </w:tcPr>
          <w:p w14:paraId="26B90FC8">
            <w:pPr>
              <w:spacing w:after="20" w:line="288" w:lineRule="auto"/>
            </w:pPr>
            <w:r>
              <w:rPr>
                <w:rFonts w:ascii="宋体" w:hAnsi="宋体" w:eastAsia="宋体"/>
                <w:b w:val="0"/>
                <w:sz w:val="19"/>
              </w:rPr>
              <w:t>学号可能变更，不适合当物理主键；用整型自增主键建索引和外键关联更高效稳定，业务唯一性交给 UNIQUE 约束</w:t>
            </w:r>
          </w:p>
        </w:tc>
      </w:tr>
      <w:tr w14:paraId="6B5F6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0FD24FB0">
            <w:pPr>
              <w:spacing w:after="20" w:line="288" w:lineRule="auto"/>
            </w:pPr>
            <w:r>
              <w:rPr>
                <w:rFonts w:ascii="宋体" w:hAnsi="宋体" w:eastAsia="宋体"/>
                <w:b w:val="0"/>
                <w:sz w:val="19"/>
              </w:rPr>
              <w:t>attendance</w:t>
            </w:r>
          </w:p>
        </w:tc>
        <w:tc>
          <w:tcPr>
            <w:tcW w:w="2041" w:type="dxa"/>
          </w:tcPr>
          <w:p w14:paraId="09F00A4C">
            <w:pPr>
              <w:spacing w:after="20" w:line="288" w:lineRule="auto"/>
            </w:pPr>
            <w:r>
              <w:rPr>
                <w:rFonts w:ascii="宋体" w:hAnsi="宋体" w:eastAsia="宋体"/>
                <w:b w:val="0"/>
                <w:sz w:val="19"/>
              </w:rPr>
              <w:t>id 自增</w:t>
            </w:r>
          </w:p>
        </w:tc>
        <w:tc>
          <w:tcPr>
            <w:tcW w:w="3061" w:type="dxa"/>
          </w:tcPr>
          <w:p w14:paraId="38438753">
            <w:pPr>
              <w:spacing w:after="20" w:line="288" w:lineRule="auto"/>
            </w:pPr>
            <w:r>
              <w:rPr>
                <w:rFonts w:ascii="宋体" w:hAnsi="宋体" w:eastAsia="宋体"/>
                <w:b w:val="0"/>
                <w:sz w:val="19"/>
              </w:rPr>
              <w:t>id / student_id / student_no / student_name / class_name / card_no / action / ts / day</w:t>
            </w:r>
          </w:p>
        </w:tc>
        <w:tc>
          <w:tcPr>
            <w:tcW w:w="2381" w:type="dxa"/>
          </w:tcPr>
          <w:p w14:paraId="4FDF9583">
            <w:pPr>
              <w:spacing w:after="20" w:line="288" w:lineRule="auto"/>
            </w:pPr>
            <w:r>
              <w:rPr>
                <w:rFonts w:ascii="宋体" w:hAnsi="宋体" w:eastAsia="宋体"/>
                <w:b w:val="0"/>
                <w:sz w:val="19"/>
              </w:rPr>
              <w:t>冗余存一份学号姓名班级作为『快照』：即使学生被改名字或删除，历史记录依然完整可读，不会变成空白</w:t>
            </w:r>
          </w:p>
        </w:tc>
      </w:tr>
      <w:tr w14:paraId="11B54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50354040">
            <w:pPr>
              <w:spacing w:after="20" w:line="288" w:lineRule="auto"/>
            </w:pPr>
            <w:r>
              <w:rPr>
                <w:rFonts w:ascii="宋体" w:hAnsi="宋体" w:eastAsia="宋体"/>
                <w:b w:val="0"/>
                <w:sz w:val="19"/>
              </w:rPr>
              <w:t>unknown_cards</w:t>
            </w:r>
          </w:p>
        </w:tc>
        <w:tc>
          <w:tcPr>
            <w:tcW w:w="2041" w:type="dxa"/>
          </w:tcPr>
          <w:p w14:paraId="6569CDD7">
            <w:pPr>
              <w:spacing w:after="20" w:line="288" w:lineRule="auto"/>
            </w:pPr>
            <w:r>
              <w:rPr>
                <w:rFonts w:ascii="宋体" w:hAnsi="宋体" w:eastAsia="宋体"/>
                <w:b w:val="0"/>
                <w:sz w:val="19"/>
              </w:rPr>
              <w:t>id 自增</w:t>
            </w:r>
          </w:p>
        </w:tc>
        <w:tc>
          <w:tcPr>
            <w:tcW w:w="3061" w:type="dxa"/>
          </w:tcPr>
          <w:p w14:paraId="465E2E08">
            <w:pPr>
              <w:spacing w:after="20" w:line="288" w:lineRule="auto"/>
            </w:pPr>
            <w:r>
              <w:rPr>
                <w:rFonts w:ascii="宋体" w:hAnsi="宋体" w:eastAsia="宋体"/>
                <w:b w:val="0"/>
                <w:sz w:val="19"/>
              </w:rPr>
              <w:t>id / card_no / ts</w:t>
            </w:r>
          </w:p>
        </w:tc>
        <w:tc>
          <w:tcPr>
            <w:tcW w:w="2381" w:type="dxa"/>
          </w:tcPr>
          <w:p w14:paraId="4FD5E15A">
            <w:pPr>
              <w:spacing w:after="20" w:line="288" w:lineRule="auto"/>
            </w:pPr>
            <w:r>
              <w:rPr>
                <w:rFonts w:ascii="宋体" w:hAnsi="宋体" w:eastAsia="宋体"/>
                <w:b w:val="0"/>
                <w:sz w:val="19"/>
              </w:rPr>
              <w:t>陌生卡刷卡留痕，既是异常处理的证据，也方便事后补绑卡</w:t>
            </w:r>
          </w:p>
        </w:tc>
      </w:tr>
      <w:tr w14:paraId="77359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1" w:type="dxa"/>
          </w:tcPr>
          <w:p w14:paraId="107CE3A8">
            <w:pPr>
              <w:spacing w:after="20" w:line="288" w:lineRule="auto"/>
            </w:pPr>
            <w:r>
              <w:rPr>
                <w:rFonts w:ascii="宋体" w:hAnsi="宋体" w:eastAsia="宋体"/>
                <w:b w:val="0"/>
                <w:sz w:val="19"/>
              </w:rPr>
              <w:t>settings</w:t>
            </w:r>
          </w:p>
        </w:tc>
        <w:tc>
          <w:tcPr>
            <w:tcW w:w="2041" w:type="dxa"/>
          </w:tcPr>
          <w:p w14:paraId="45B2C8FC">
            <w:pPr>
              <w:spacing w:after="20" w:line="288" w:lineRule="auto"/>
            </w:pPr>
            <w:r>
              <w:rPr>
                <w:rFonts w:ascii="宋体" w:hAnsi="宋体" w:eastAsia="宋体"/>
                <w:b w:val="0"/>
                <w:sz w:val="19"/>
              </w:rPr>
              <w:t>key（主键）</w:t>
            </w:r>
          </w:p>
        </w:tc>
        <w:tc>
          <w:tcPr>
            <w:tcW w:w="3061" w:type="dxa"/>
          </w:tcPr>
          <w:p w14:paraId="0C94153B">
            <w:pPr>
              <w:spacing w:after="20" w:line="288" w:lineRule="auto"/>
            </w:pPr>
            <w:r>
              <w:rPr>
                <w:rFonts w:ascii="宋体" w:hAnsi="宋体" w:eastAsia="宋体"/>
                <w:b w:val="0"/>
                <w:sz w:val="19"/>
              </w:rPr>
              <w:t>key / value</w:t>
            </w:r>
          </w:p>
        </w:tc>
        <w:tc>
          <w:tcPr>
            <w:tcW w:w="2381" w:type="dxa"/>
          </w:tcPr>
          <w:p w14:paraId="6A9A3856">
            <w:pPr>
              <w:spacing w:after="20" w:line="288" w:lineRule="auto"/>
            </w:pPr>
            <w:r>
              <w:rPr>
                <w:rFonts w:ascii="宋体" w:hAnsi="宋体" w:eastAsia="宋体"/>
                <w:b w:val="0"/>
                <w:sz w:val="19"/>
              </w:rPr>
              <w:t>把串口、波特率、间隔等参数做成配置项，规则变化不用改代码</w:t>
            </w:r>
          </w:p>
        </w:tc>
      </w:tr>
    </w:tbl>
    <w:p w14:paraId="5EC90D3B">
      <w:pPr>
        <w:rPr>
          <w:rFonts w:hint="default"/>
          <w:lang w:val="en-US" w:eastAsia="zh-CN"/>
        </w:rPr>
      </w:pPr>
    </w:p>
    <w:p w14:paraId="576709E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79404B"/>
    <w:rsid w:val="5479404B"/>
    <w:rsid w:val="548A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2026-10-29T07:42:00Z</dcterms:created>
  <dc:creator>WPS_1641964991</dc:creator>
  <cp:lastModifiedBy>WPS_1641964991</cp:lastModifiedBy>
  <dcterms:modified xsi:type="dcterms:W3CDTF">2026-10-29T08:27:16Z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4CC5882A09F447BBBBD6C56487953EFB_11</vt:lpwstr>
  </property>
  <property fmtid="{D5CDD505-2E9C-101B-9397-08002B2CF9AE}" pid="4" name="KSOTemplateDocerSaveRecord">
    <vt:lpwstr>eyJoZGlkIjoiNzY4NDZhNjY1YTk5NDlmNTU5MDM0N2M3ZjZlM2JiM2EiLCJ1c2VySWQiOiIxMzE3MDkzNDg4In0=</vt:lpwstr>
  </property>
</Properties>
</file>