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6CBC6" w14:textId="77777777" w:rsidR="00873137" w:rsidRPr="00B70E4B" w:rsidRDefault="00873137" w:rsidP="00024E77">
      <w:pPr>
        <w:spacing w:line="240" w:lineRule="auto"/>
        <w:rPr>
          <w:sz w:val="20"/>
          <w:szCs w:val="20"/>
        </w:rPr>
      </w:pPr>
      <w:r w:rsidRPr="00B70E4B">
        <w:rPr>
          <w:sz w:val="20"/>
          <w:szCs w:val="20"/>
        </w:rPr>
        <w:t>Mikołaj Kubś 272662</w:t>
      </w:r>
    </w:p>
    <w:p w14:paraId="071A27E4" w14:textId="22B35C07" w:rsidR="00871C41" w:rsidRPr="00871C41" w:rsidRDefault="00871C41" w:rsidP="00024E77">
      <w:pPr>
        <w:spacing w:line="240" w:lineRule="auto"/>
        <w:jc w:val="center"/>
        <w:rPr>
          <w:sz w:val="20"/>
          <w:szCs w:val="20"/>
        </w:rPr>
      </w:pPr>
      <w:r w:rsidRPr="00871C41">
        <w:rPr>
          <w:sz w:val="20"/>
          <w:szCs w:val="20"/>
        </w:rPr>
        <w:t>Budżet i przepływy pieniężne w projektach</w:t>
      </w:r>
    </w:p>
    <w:p w14:paraId="11791239" w14:textId="3C76D653" w:rsidR="00871C41" w:rsidRPr="00871C41" w:rsidRDefault="00871C41" w:rsidP="00024E77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1. Lista kluczowych zagadnień występujących w temacie i niezbędny opis każdego z nich</w:t>
      </w:r>
    </w:p>
    <w:p w14:paraId="6CBCD79E" w14:textId="0771403D" w:rsidR="00871C41" w:rsidRPr="00871C41" w:rsidRDefault="00871C41" w:rsidP="00024E77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Zarządzanie budżetem i przepływami pieniężnymi jest fundamentalnym aspektem skutecznego prowadzenia projektów</w:t>
      </w:r>
      <w:r w:rsidR="00B711DE">
        <w:rPr>
          <w:sz w:val="20"/>
          <w:szCs w:val="20"/>
        </w:rPr>
        <w:t xml:space="preserve">. Zapewnia to, </w:t>
      </w:r>
      <w:r w:rsidRPr="00871C41">
        <w:rPr>
          <w:sz w:val="20"/>
          <w:szCs w:val="20"/>
        </w:rPr>
        <w:t xml:space="preserve">że projekt zostanie zrealizowany </w:t>
      </w:r>
      <w:r w:rsidR="00AD39E4" w:rsidRPr="00B70E4B">
        <w:rPr>
          <w:sz w:val="20"/>
          <w:szCs w:val="20"/>
        </w:rPr>
        <w:t>zgodnie z zapewnionymi</w:t>
      </w:r>
      <w:r w:rsidRPr="00871C41">
        <w:rPr>
          <w:sz w:val="20"/>
          <w:szCs w:val="20"/>
        </w:rPr>
        <w:t xml:space="preserve"> środk</w:t>
      </w:r>
      <w:r w:rsidR="00AD39E4" w:rsidRPr="00B70E4B">
        <w:rPr>
          <w:sz w:val="20"/>
          <w:szCs w:val="20"/>
        </w:rPr>
        <w:t>ami</w:t>
      </w:r>
      <w:r w:rsidRPr="00871C41">
        <w:rPr>
          <w:sz w:val="20"/>
          <w:szCs w:val="20"/>
        </w:rPr>
        <w:t xml:space="preserve"> finansowy</w:t>
      </w:r>
      <w:r w:rsidR="00AD39E4" w:rsidRPr="00B70E4B">
        <w:rPr>
          <w:sz w:val="20"/>
          <w:szCs w:val="20"/>
        </w:rPr>
        <w:t>mi</w:t>
      </w:r>
      <w:r w:rsidRPr="00871C41">
        <w:rPr>
          <w:sz w:val="20"/>
          <w:szCs w:val="20"/>
        </w:rPr>
        <w:t xml:space="preserve"> i że zasoby pieniężne będą dostępne wtedy, gdy </w:t>
      </w:r>
      <w:r w:rsidR="00615F3F" w:rsidRPr="00B70E4B">
        <w:rPr>
          <w:sz w:val="20"/>
          <w:szCs w:val="20"/>
        </w:rPr>
        <w:t>będą</w:t>
      </w:r>
      <w:r w:rsidRPr="00871C41">
        <w:rPr>
          <w:sz w:val="20"/>
          <w:szCs w:val="20"/>
        </w:rPr>
        <w:t xml:space="preserve"> potrzebne. Kluczowe zagadnienia w tym obszarze obejmują:</w:t>
      </w:r>
    </w:p>
    <w:p w14:paraId="23A8AA1B" w14:textId="7FCDB4EB" w:rsidR="00871C41" w:rsidRPr="00871C41" w:rsidRDefault="00871C41" w:rsidP="00024E77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Budżet projektu</w:t>
      </w:r>
      <w:r w:rsidR="00BF7FFC" w:rsidRPr="00B70E4B">
        <w:rPr>
          <w:sz w:val="20"/>
          <w:szCs w:val="20"/>
        </w:rPr>
        <w:t xml:space="preserve"> - </w:t>
      </w:r>
      <w:r w:rsidRPr="00871C41">
        <w:rPr>
          <w:sz w:val="20"/>
          <w:szCs w:val="20"/>
        </w:rPr>
        <w:t>to zatwierdzony szacunek kosztów dla projektu lub dowolnego komponentu struktury podziału pracy (WBS) lub działania harmonogramu (PMBOK Guide, s. 52, 188). PMBOK Guide (s. 62-63) ilustruje budowę budżetu, zaczynając od szacunków kosztów robocizny, poprzez linię bazową kosztów, rezerwę awaryjną (contingency reserve) na zidentyfikowane ryzyka</w:t>
      </w:r>
      <w:r w:rsidR="00B711DE">
        <w:rPr>
          <w:sz w:val="20"/>
          <w:szCs w:val="20"/>
        </w:rPr>
        <w:t xml:space="preserve"> i</w:t>
      </w:r>
      <w:r w:rsidRPr="00871C41">
        <w:rPr>
          <w:sz w:val="20"/>
          <w:szCs w:val="20"/>
        </w:rPr>
        <w:t xml:space="preserve"> rezerwę zarządczą (management reserve) na nieprzewidziane prace w ramach zakresu.</w:t>
      </w:r>
    </w:p>
    <w:p w14:paraId="1892A241" w14:textId="5BE88287" w:rsidR="00871C41" w:rsidRPr="00871C41" w:rsidRDefault="00871C41" w:rsidP="00024E77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Szacowanie kosztów</w:t>
      </w:r>
      <w:r w:rsidR="00BF7FFC" w:rsidRPr="00B70E4B">
        <w:rPr>
          <w:sz w:val="20"/>
          <w:szCs w:val="20"/>
        </w:rPr>
        <w:t xml:space="preserve">  - t</w:t>
      </w:r>
      <w:r w:rsidRPr="00871C41">
        <w:rPr>
          <w:sz w:val="20"/>
          <w:szCs w:val="20"/>
        </w:rPr>
        <w:t xml:space="preserve">o proces opracowywania przybliżonej wartości zasobów pieniężnych potrzebnych do ukończenia działań projektowych. PMBOK Guide (s. 55-58) opisuje różne aspekty szacowania, takie jak zakres (range), dokładność (accuracy), precyzja (precision) i pewność (confidence). Metody mogą obejmować szacowanie </w:t>
      </w:r>
      <w:r w:rsidR="0042725C">
        <w:rPr>
          <w:sz w:val="20"/>
          <w:szCs w:val="20"/>
        </w:rPr>
        <w:t>deterministyczne, probabilistyczne</w:t>
      </w:r>
      <w:r w:rsidRPr="00871C41">
        <w:rPr>
          <w:sz w:val="20"/>
          <w:szCs w:val="20"/>
        </w:rPr>
        <w:t xml:space="preserve">, </w:t>
      </w:r>
      <w:r w:rsidR="0042725C">
        <w:rPr>
          <w:sz w:val="20"/>
          <w:szCs w:val="20"/>
        </w:rPr>
        <w:t>absolutne, relatywne czy inne</w:t>
      </w:r>
      <w:r w:rsidRPr="00871C41">
        <w:rPr>
          <w:sz w:val="20"/>
          <w:szCs w:val="20"/>
        </w:rPr>
        <w:t xml:space="preserve"> (PMBOK Guide, s. 178). Istotne jest również dostosowywanie szacunków w miarę pojawiania się niepewności.</w:t>
      </w:r>
    </w:p>
    <w:p w14:paraId="35CBF415" w14:textId="78085C2E" w:rsidR="00871C41" w:rsidRPr="00871C41" w:rsidRDefault="00871C41" w:rsidP="00024E77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Linia bazowa kosztów</w:t>
      </w:r>
      <w:r w:rsidR="00BF7FFC" w:rsidRPr="00B70E4B">
        <w:rPr>
          <w:sz w:val="20"/>
          <w:szCs w:val="20"/>
        </w:rPr>
        <w:t xml:space="preserve"> </w:t>
      </w:r>
      <w:r w:rsidR="005D234E">
        <w:rPr>
          <w:sz w:val="20"/>
          <w:szCs w:val="20"/>
        </w:rPr>
        <w:t>–</w:t>
      </w:r>
      <w:r w:rsidRPr="00871C41">
        <w:rPr>
          <w:sz w:val="20"/>
          <w:szCs w:val="20"/>
        </w:rPr>
        <w:t> </w:t>
      </w:r>
      <w:r w:rsidR="005D234E">
        <w:rPr>
          <w:sz w:val="20"/>
          <w:szCs w:val="20"/>
        </w:rPr>
        <w:t>zaakceptowana wersja planu lub produktu pracy</w:t>
      </w:r>
      <w:r w:rsidR="00C7069E">
        <w:rPr>
          <w:sz w:val="20"/>
          <w:szCs w:val="20"/>
        </w:rPr>
        <w:t>.</w:t>
      </w:r>
      <w:r w:rsidRPr="00871C41">
        <w:rPr>
          <w:sz w:val="20"/>
          <w:szCs w:val="20"/>
        </w:rPr>
        <w:t xml:space="preserve"> </w:t>
      </w:r>
      <w:r w:rsidR="005D234E">
        <w:rPr>
          <w:sz w:val="20"/>
          <w:szCs w:val="20"/>
        </w:rPr>
        <w:t>J</w:t>
      </w:r>
      <w:r w:rsidRPr="00871C41">
        <w:rPr>
          <w:sz w:val="20"/>
          <w:szCs w:val="20"/>
        </w:rPr>
        <w:t xml:space="preserve">est używana jako podstawa do porównania z rzeczywistymi wynikami (PMBOK Guide, s. 188). </w:t>
      </w:r>
    </w:p>
    <w:p w14:paraId="6C5FA33E" w14:textId="4BF6E978" w:rsidR="00871C41" w:rsidRPr="00871C41" w:rsidRDefault="00871C41" w:rsidP="00024E77">
      <w:pPr>
        <w:numPr>
          <w:ilvl w:val="0"/>
          <w:numId w:val="1"/>
        </w:numPr>
        <w:spacing w:line="240" w:lineRule="auto"/>
        <w:rPr>
          <w:sz w:val="20"/>
          <w:szCs w:val="20"/>
          <w:lang w:val="en-US"/>
        </w:rPr>
      </w:pPr>
      <w:r w:rsidRPr="00871C41">
        <w:rPr>
          <w:sz w:val="20"/>
          <w:szCs w:val="20"/>
        </w:rPr>
        <w:t>Zarządzanie wartością wypracowaną (Earned Value Management - EVM)</w:t>
      </w:r>
      <w:r w:rsidR="00BF7FFC" w:rsidRPr="00B70E4B">
        <w:rPr>
          <w:sz w:val="20"/>
          <w:szCs w:val="20"/>
        </w:rPr>
        <w:t xml:space="preserve"> – to m</w:t>
      </w:r>
      <w:r w:rsidRPr="00871C41">
        <w:rPr>
          <w:sz w:val="20"/>
          <w:szCs w:val="20"/>
        </w:rPr>
        <w:t xml:space="preserve">etoda pomiaru wykonania projektu integrująca zakres, harmonogram i zasoby. EVM pozwala na monitorowanie odchyleń od planu kosztów (Cost Variance - CV) i harmonogramu (Schedule Variance - SV) oraz prognozowanie przyszłych wyników (np. </w:t>
      </w:r>
      <w:r w:rsidRPr="00871C41">
        <w:rPr>
          <w:sz w:val="20"/>
          <w:szCs w:val="20"/>
          <w:lang w:val="en-US"/>
        </w:rPr>
        <w:t>Estimate at Completion - EAC) (PMBOK Guide, s. 100-101, 176, 195-196). Kluczowe metryki to PV, EV (Earned Value) i AC (Actual Cost).</w:t>
      </w:r>
    </w:p>
    <w:p w14:paraId="2C0664A8" w14:textId="2E53732A" w:rsidR="00871C41" w:rsidRPr="00871C41" w:rsidRDefault="00871C41" w:rsidP="00024E77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Kontrola kosztów</w:t>
      </w:r>
      <w:r w:rsidR="00BF7FFC" w:rsidRPr="00B70E4B">
        <w:rPr>
          <w:sz w:val="20"/>
          <w:szCs w:val="20"/>
        </w:rPr>
        <w:t xml:space="preserve">  - p</w:t>
      </w:r>
      <w:r w:rsidRPr="00871C41">
        <w:rPr>
          <w:sz w:val="20"/>
          <w:szCs w:val="20"/>
        </w:rPr>
        <w:t>roces monitorowania statusu projektu w celu aktualizacji budżetu projektu i zarządzania zmianami w linii bazowej kosztów. Obejmuje to analizę odchyleń, prognozowanie i podejmowanie działań korygujących.</w:t>
      </w:r>
    </w:p>
    <w:p w14:paraId="7DC71C34" w14:textId="360901B3" w:rsidR="00871C41" w:rsidRPr="00871C41" w:rsidRDefault="00871C41" w:rsidP="00024E77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2. Aktualne trendy, rozwiązania i podejścia</w:t>
      </w:r>
    </w:p>
    <w:p w14:paraId="5A91EF73" w14:textId="00AD45D3" w:rsidR="00871C41" w:rsidRPr="00871C41" w:rsidRDefault="00871C41" w:rsidP="00024E77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Współczesne zarządzanie budżetem w projektach ewoluuje w kierunku większej elastyczności i adaptacyjności</w:t>
      </w:r>
      <w:r w:rsidR="00176D83">
        <w:rPr>
          <w:sz w:val="20"/>
          <w:szCs w:val="20"/>
        </w:rPr>
        <w:t xml:space="preserve"> w związku z</w:t>
      </w:r>
      <w:r w:rsidRPr="00871C41">
        <w:rPr>
          <w:sz w:val="20"/>
          <w:szCs w:val="20"/>
        </w:rPr>
        <w:t xml:space="preserve"> popularnoś</w:t>
      </w:r>
      <w:r w:rsidR="00176D83">
        <w:rPr>
          <w:sz w:val="20"/>
          <w:szCs w:val="20"/>
        </w:rPr>
        <w:t>cią</w:t>
      </w:r>
      <w:r w:rsidRPr="00871C41">
        <w:rPr>
          <w:sz w:val="20"/>
          <w:szCs w:val="20"/>
        </w:rPr>
        <w:t xml:space="preserve"> podejść zwinnych i hybrydowych. </w:t>
      </w:r>
    </w:p>
    <w:p w14:paraId="2B9BF2A9" w14:textId="77777777" w:rsidR="00871C41" w:rsidRPr="00871C41" w:rsidRDefault="00871C41" w:rsidP="00024E77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Kluczowe trendy to:</w:t>
      </w:r>
    </w:p>
    <w:p w14:paraId="0AB84448" w14:textId="20096A74" w:rsidR="00871C41" w:rsidRPr="00871C41" w:rsidRDefault="00871C41" w:rsidP="00024E77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Budżetowanie zwinne</w:t>
      </w:r>
      <w:r w:rsidR="00A03E52" w:rsidRPr="00B70E4B">
        <w:rPr>
          <w:sz w:val="20"/>
          <w:szCs w:val="20"/>
        </w:rPr>
        <w:t xml:space="preserve"> -</w:t>
      </w:r>
      <w:r w:rsidRPr="00871C41">
        <w:rPr>
          <w:sz w:val="20"/>
          <w:szCs w:val="20"/>
        </w:rPr>
        <w:t> </w:t>
      </w:r>
      <w:r w:rsidR="00A03E52" w:rsidRPr="00B70E4B">
        <w:rPr>
          <w:sz w:val="20"/>
          <w:szCs w:val="20"/>
        </w:rPr>
        <w:t>z</w:t>
      </w:r>
      <w:r w:rsidRPr="00871C41">
        <w:rPr>
          <w:sz w:val="20"/>
          <w:szCs w:val="20"/>
        </w:rPr>
        <w:t xml:space="preserve">amiast szczegółowego budżetowania na cały projekt z góry, stosuje się </w:t>
      </w:r>
      <w:r w:rsidR="002F1BDC">
        <w:rPr>
          <w:sz w:val="20"/>
          <w:szCs w:val="20"/>
        </w:rPr>
        <w:t xml:space="preserve">np. </w:t>
      </w:r>
      <w:r w:rsidRPr="00871C41">
        <w:rPr>
          <w:sz w:val="20"/>
          <w:szCs w:val="20"/>
        </w:rPr>
        <w:t>budżetowanie kroczące (rolling wave). Fundusze są alokowane na krótsze okresy (np. iteracje, przyrosty</w:t>
      </w:r>
      <w:r w:rsidR="00393F45">
        <w:rPr>
          <w:sz w:val="20"/>
          <w:szCs w:val="20"/>
        </w:rPr>
        <w:t>, kwartały</w:t>
      </w:r>
      <w:r w:rsidRPr="00871C41">
        <w:rPr>
          <w:sz w:val="20"/>
          <w:szCs w:val="20"/>
        </w:rPr>
        <w:t>), a decyzje o dalszym finansowaniu podejmowane są na podstawie dostarczonej wartości i aktualnych priorytetów.</w:t>
      </w:r>
    </w:p>
    <w:p w14:paraId="5A2031DB" w14:textId="2E6B9A33" w:rsidR="00871C41" w:rsidRPr="00871C41" w:rsidRDefault="00871C41" w:rsidP="00024E77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Koncentracja na wartości biznesowej: </w:t>
      </w:r>
      <w:r w:rsidR="00393F45">
        <w:rPr>
          <w:sz w:val="20"/>
          <w:szCs w:val="20"/>
        </w:rPr>
        <w:t>b</w:t>
      </w:r>
      <w:r w:rsidRPr="00871C41">
        <w:rPr>
          <w:sz w:val="20"/>
          <w:szCs w:val="20"/>
        </w:rPr>
        <w:t>udżety są ściślej powiązane z oczekiwanymi korzyściami i wartością dla organizacji. Metryki takie jak ROI (Return on Investment)</w:t>
      </w:r>
      <w:r w:rsidR="007636AA">
        <w:rPr>
          <w:sz w:val="20"/>
          <w:szCs w:val="20"/>
        </w:rPr>
        <w:t xml:space="preserve"> czy</w:t>
      </w:r>
      <w:r w:rsidRPr="00871C41">
        <w:rPr>
          <w:sz w:val="20"/>
          <w:szCs w:val="20"/>
        </w:rPr>
        <w:t xml:space="preserve"> NPV (Net Present Value</w:t>
      </w:r>
      <w:r w:rsidR="007636AA">
        <w:rPr>
          <w:sz w:val="20"/>
          <w:szCs w:val="20"/>
        </w:rPr>
        <w:t>)</w:t>
      </w:r>
      <w:r w:rsidRPr="00871C41">
        <w:rPr>
          <w:sz w:val="20"/>
          <w:szCs w:val="20"/>
        </w:rPr>
        <w:t xml:space="preserve"> (PMBOK Guide, s. 102, 175) są używane nie tylko do uzasadnienia projektu, ale także do ciągłego monitorowania jego opłacalności.</w:t>
      </w:r>
    </w:p>
    <w:p w14:paraId="20258523" w14:textId="77777777" w:rsidR="00871C41" w:rsidRPr="00871C41" w:rsidRDefault="00871C41" w:rsidP="00024E77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Elastyczne rezerwy: W środowiskach o wysokiej zmienności, zarządzanie rezerwami (awaryjnymi i zarządczymi) staje się bardziej dynamiczne, z częstszymi przeglądami i dostosowaniami.</w:t>
      </w:r>
    </w:p>
    <w:p w14:paraId="5A715CBD" w14:textId="77777777" w:rsidR="00871C41" w:rsidRPr="00871C41" w:rsidRDefault="00871C41" w:rsidP="00024E77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Prognozowanie oparte na danych: Wykorzystanie zaawansowanej analityki i danych historycznych do tworzenia bardziej realistycznych prognoz kosztów (ETC, EAC) i przepływów pieniężnych.</w:t>
      </w:r>
    </w:p>
    <w:p w14:paraId="49FFB45F" w14:textId="1292F7D0" w:rsidR="00871C41" w:rsidRPr="00871C41" w:rsidRDefault="00871C41" w:rsidP="00024E77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3. Nowoczesne narzędzia informatyczne wspomagające pracę menedżerów</w:t>
      </w:r>
    </w:p>
    <w:p w14:paraId="71B7880F" w14:textId="77777777" w:rsidR="00871C41" w:rsidRPr="00871C41" w:rsidRDefault="00871C41" w:rsidP="00024E77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lastRenderedPageBreak/>
        <w:t>Menedżerowie projektów dysponują szeroką gamą narzędzi IT wspierających zarządzanie budżetem i przepływami pieniężnymi:</w:t>
      </w:r>
    </w:p>
    <w:p w14:paraId="28EBA8B4" w14:textId="4B6E77D3" w:rsidR="00871C41" w:rsidRPr="00871C41" w:rsidRDefault="00871C41" w:rsidP="00024E77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Oprogramowanie do zarządzania projektami: </w:t>
      </w:r>
      <w:r w:rsidR="0025796D">
        <w:rPr>
          <w:sz w:val="20"/>
          <w:szCs w:val="20"/>
        </w:rPr>
        <w:t>n</w:t>
      </w:r>
      <w:r w:rsidRPr="00871C41">
        <w:rPr>
          <w:sz w:val="20"/>
          <w:szCs w:val="20"/>
        </w:rPr>
        <w:t>arzędzia takie jak Microsoft Project, Asana, Primavera P6 oferują funkcje planowania kosztów, śledzenia wydatków, zarządzania zasobami i raportowania EVM.</w:t>
      </w:r>
    </w:p>
    <w:p w14:paraId="73B3C19A" w14:textId="6C7F39BC" w:rsidR="00871C41" w:rsidRPr="00871C41" w:rsidRDefault="00871C41" w:rsidP="00024E77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Systemy ERP (Enterprise Resource Planning): </w:t>
      </w:r>
      <w:r w:rsidR="0025796D">
        <w:rPr>
          <w:sz w:val="20"/>
          <w:szCs w:val="20"/>
        </w:rPr>
        <w:t>r</w:t>
      </w:r>
      <w:r w:rsidRPr="00871C41">
        <w:rPr>
          <w:sz w:val="20"/>
          <w:szCs w:val="20"/>
        </w:rPr>
        <w:t>ozwiązania jak SAP S/4HANA, Oracle NetSuite integrują zarządzanie finansami projektu z ogólnymi finansami przedsiębiorstwa, umożliwiając kompleksowe zarządzanie przepływami pieniężnymi.</w:t>
      </w:r>
    </w:p>
    <w:p w14:paraId="5CD9C697" w14:textId="2CF8F44A" w:rsidR="00871C41" w:rsidRPr="00871C41" w:rsidRDefault="00871C41" w:rsidP="00024E77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Narzędzia do Business Intelligence i wizualizacji danych: </w:t>
      </w:r>
      <w:r w:rsidR="0001556B">
        <w:rPr>
          <w:sz w:val="20"/>
          <w:szCs w:val="20"/>
        </w:rPr>
        <w:t>narzędzia</w:t>
      </w:r>
      <w:r w:rsidRPr="00871C41">
        <w:rPr>
          <w:sz w:val="20"/>
          <w:szCs w:val="20"/>
        </w:rPr>
        <w:t xml:space="preserve"> takie jak Tableau</w:t>
      </w:r>
      <w:r w:rsidR="00E51AD5">
        <w:rPr>
          <w:sz w:val="20"/>
          <w:szCs w:val="20"/>
        </w:rPr>
        <w:t xml:space="preserve"> czy</w:t>
      </w:r>
      <w:r w:rsidRPr="00871C41">
        <w:rPr>
          <w:sz w:val="20"/>
          <w:szCs w:val="20"/>
        </w:rPr>
        <w:t xml:space="preserve"> Microsoft Power BI pozwalają na tworzenie interaktywnych dashboardów (PMBOK Guide, s. 93, 106-107), prezentujących KPI budżetowe, analizy </w:t>
      </w:r>
      <w:r w:rsidR="0025796D">
        <w:rPr>
          <w:sz w:val="20"/>
          <w:szCs w:val="20"/>
        </w:rPr>
        <w:t>itd.</w:t>
      </w:r>
      <w:r w:rsidRPr="00871C41">
        <w:rPr>
          <w:sz w:val="20"/>
          <w:szCs w:val="20"/>
        </w:rPr>
        <w:t xml:space="preserve"> w przystępny sposób.</w:t>
      </w:r>
    </w:p>
    <w:p w14:paraId="255F4EAC" w14:textId="2B399A7D" w:rsidR="00871C41" w:rsidRPr="00871C41" w:rsidRDefault="00871C41" w:rsidP="00024E77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4. Prognozowane kierunki rozwoju w danym temacie, szanse i zagrożenia</w:t>
      </w:r>
    </w:p>
    <w:p w14:paraId="5459DC9F" w14:textId="1B24AE8C" w:rsidR="00871C41" w:rsidRPr="00871C41" w:rsidRDefault="00871C41" w:rsidP="00024E77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 xml:space="preserve">Kierunki rozwoju w zarządzaniu budżetem i przepływami pieniężnymi będą </w:t>
      </w:r>
      <w:r w:rsidR="00991FF2">
        <w:rPr>
          <w:sz w:val="20"/>
          <w:szCs w:val="20"/>
        </w:rPr>
        <w:t>najprawdopodobniej</w:t>
      </w:r>
      <w:r w:rsidRPr="00871C41">
        <w:rPr>
          <w:sz w:val="20"/>
          <w:szCs w:val="20"/>
        </w:rPr>
        <w:t xml:space="preserve"> podążać za ogólnymi trendami w zarządzaniu projektami i technologii:</w:t>
      </w:r>
    </w:p>
    <w:p w14:paraId="1671AC30" w14:textId="77777777" w:rsidR="00871C41" w:rsidRPr="00871C41" w:rsidRDefault="00871C41" w:rsidP="005760CD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Szanse:</w:t>
      </w:r>
    </w:p>
    <w:p w14:paraId="21E75A8C" w14:textId="4CE63CED" w:rsidR="00871C41" w:rsidRPr="00871C41" w:rsidRDefault="00871C41" w:rsidP="005760C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Sztuczna inteligencja i uczenie maszynowe mogą zrewolucjonizować szacowanie kosztów, identyfikację ryzyk finansowych i prognozowanie, prowadząc do większej dokładności i efektywności.</w:t>
      </w:r>
    </w:p>
    <w:p w14:paraId="43896DAC" w14:textId="12C1B13B" w:rsidR="00871C41" w:rsidRPr="00871C41" w:rsidRDefault="00871C41" w:rsidP="005760C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Lepsze modele predykcyjne dla przepływów pieniężnych i odchyleń budżetowych, umożliwiające proaktywne zarządzanie.</w:t>
      </w:r>
    </w:p>
    <w:p w14:paraId="0A413DE6" w14:textId="2BB8E33A" w:rsidR="00871C41" w:rsidRPr="00871C41" w:rsidRDefault="00871C41" w:rsidP="005760C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Narzędzia chmurowe i platformy współpracy będą nadal ułatwiać transparentne zarządzanie finansami projektu i zaangażowanie interesariuszy.</w:t>
      </w:r>
    </w:p>
    <w:p w14:paraId="03F04EF0" w14:textId="6EF1E3C9" w:rsidR="00871C41" w:rsidRPr="00871C41" w:rsidRDefault="00871C41" w:rsidP="005760C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Silniejsze powiązanie budżetowania z realizacją strategii i mierzalnych korzyści biznesowych</w:t>
      </w:r>
      <w:r w:rsidR="005F3702">
        <w:rPr>
          <w:sz w:val="20"/>
          <w:szCs w:val="20"/>
        </w:rPr>
        <w:t>.</w:t>
      </w:r>
    </w:p>
    <w:p w14:paraId="35111160" w14:textId="50BC8D4E" w:rsidR="00871C41" w:rsidRPr="00871C41" w:rsidRDefault="00871C41" w:rsidP="005760C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Rozwój bardziej elastycznych modeli finansowania, lepiej dostosowanych do zmiennych środowisk projektowych.</w:t>
      </w:r>
    </w:p>
    <w:p w14:paraId="6AD44E96" w14:textId="77777777" w:rsidR="00871C41" w:rsidRPr="00871C41" w:rsidRDefault="00871C41" w:rsidP="005760CD">
      <w:p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Zagrożenia:</w:t>
      </w:r>
    </w:p>
    <w:p w14:paraId="6DD7D1F7" w14:textId="1A5BC020" w:rsidR="00871C41" w:rsidRPr="00871C41" w:rsidRDefault="00871C41" w:rsidP="005760C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Wzrost ilości danych i skomplikowania narzędzi może stanowić wyzwanie dla menedżerów projektów pod względem umiejętności i interpretacji.</w:t>
      </w:r>
    </w:p>
    <w:p w14:paraId="6AD5DAD8" w14:textId="6024F799" w:rsidR="00871C41" w:rsidRPr="00871C41" w:rsidRDefault="00871C41" w:rsidP="005760C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871C41">
        <w:rPr>
          <w:sz w:val="20"/>
          <w:szCs w:val="20"/>
        </w:rPr>
        <w:t>Nadmierne poleganie na technologii</w:t>
      </w:r>
      <w:r w:rsidR="00457ED9">
        <w:rPr>
          <w:sz w:val="20"/>
          <w:szCs w:val="20"/>
        </w:rPr>
        <w:t xml:space="preserve"> może doprowadzić do mniejszej kontroli błędów i zbytnie</w:t>
      </w:r>
      <w:r w:rsidR="008A5DCE">
        <w:rPr>
          <w:sz w:val="20"/>
          <w:szCs w:val="20"/>
        </w:rPr>
        <w:t>go</w:t>
      </w:r>
      <w:r w:rsidR="00457ED9">
        <w:rPr>
          <w:sz w:val="20"/>
          <w:szCs w:val="20"/>
        </w:rPr>
        <w:t xml:space="preserve"> polegani</w:t>
      </w:r>
      <w:r w:rsidR="008A5DCE">
        <w:rPr>
          <w:sz w:val="20"/>
          <w:szCs w:val="20"/>
        </w:rPr>
        <w:t>a</w:t>
      </w:r>
      <w:r w:rsidR="00457ED9">
        <w:rPr>
          <w:sz w:val="20"/>
          <w:szCs w:val="20"/>
        </w:rPr>
        <w:t xml:space="preserve"> na niedoskonałych modelach uczenia maszynowego i algorytmach</w:t>
      </w:r>
    </w:p>
    <w:p w14:paraId="29399265" w14:textId="0792539E" w:rsidR="00871C41" w:rsidRPr="00871C41" w:rsidRDefault="00457ED9" w:rsidP="005760C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</w:t>
      </w:r>
      <w:r w:rsidR="00117BC3">
        <w:rPr>
          <w:sz w:val="20"/>
          <w:szCs w:val="20"/>
        </w:rPr>
        <w:t>iestabilność światowej gospodarki</w:t>
      </w:r>
      <w:r w:rsidR="00871C41" w:rsidRPr="00871C41">
        <w:rPr>
          <w:sz w:val="20"/>
          <w:szCs w:val="20"/>
        </w:rPr>
        <w:t xml:space="preserve"> </w:t>
      </w:r>
      <w:r w:rsidR="00117BC3">
        <w:rPr>
          <w:sz w:val="20"/>
          <w:szCs w:val="20"/>
        </w:rPr>
        <w:t xml:space="preserve">może </w:t>
      </w:r>
      <w:r w:rsidR="00871C41" w:rsidRPr="00871C41">
        <w:rPr>
          <w:sz w:val="20"/>
          <w:szCs w:val="20"/>
        </w:rPr>
        <w:t>utrudniać precyzyjne planowanie budżetów i przepływów pieniężnych</w:t>
      </w:r>
      <w:r w:rsidR="001C39F3">
        <w:rPr>
          <w:sz w:val="20"/>
          <w:szCs w:val="20"/>
        </w:rPr>
        <w:t xml:space="preserve"> z racji nieprzewidywalności</w:t>
      </w:r>
      <w:r w:rsidR="00871C41" w:rsidRPr="00871C41">
        <w:rPr>
          <w:sz w:val="20"/>
          <w:szCs w:val="20"/>
        </w:rPr>
        <w:t>.</w:t>
      </w:r>
    </w:p>
    <w:p w14:paraId="467AED8D" w14:textId="28520A16" w:rsidR="007D3254" w:rsidRPr="00B70E4B" w:rsidRDefault="00457ED9" w:rsidP="005760CD">
      <w:pPr>
        <w:numPr>
          <w:ilvl w:val="0"/>
          <w:numId w:val="4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Ciągła</w:t>
      </w:r>
      <w:r w:rsidR="00117BC3">
        <w:rPr>
          <w:sz w:val="20"/>
          <w:szCs w:val="20"/>
        </w:rPr>
        <w:t xml:space="preserve"> </w:t>
      </w:r>
      <w:r w:rsidR="00871C41" w:rsidRPr="00871C41">
        <w:rPr>
          <w:sz w:val="20"/>
          <w:szCs w:val="20"/>
        </w:rPr>
        <w:t>optymalizacj</w:t>
      </w:r>
      <w:r w:rsidR="00117BC3">
        <w:rPr>
          <w:sz w:val="20"/>
          <w:szCs w:val="20"/>
        </w:rPr>
        <w:t>a</w:t>
      </w:r>
      <w:r w:rsidR="00871C41" w:rsidRPr="00871C41">
        <w:rPr>
          <w:sz w:val="20"/>
          <w:szCs w:val="20"/>
        </w:rPr>
        <w:t xml:space="preserve"> kosztów może prowadzić do niedoszacowania budżetów i podejmowania nadmiernego ryzyka.</w:t>
      </w:r>
    </w:p>
    <w:p w14:paraId="70E0F3A8" w14:textId="77777777" w:rsidR="00213B0A" w:rsidRDefault="00213B0A" w:rsidP="00024E77">
      <w:pPr>
        <w:spacing w:line="240" w:lineRule="auto"/>
        <w:rPr>
          <w:sz w:val="20"/>
          <w:szCs w:val="20"/>
        </w:rPr>
      </w:pPr>
    </w:p>
    <w:p w14:paraId="201B9C6A" w14:textId="77777777" w:rsidR="00213B0A" w:rsidRDefault="00213B0A" w:rsidP="00024E77">
      <w:pPr>
        <w:spacing w:line="240" w:lineRule="auto"/>
        <w:rPr>
          <w:sz w:val="20"/>
          <w:szCs w:val="20"/>
        </w:rPr>
      </w:pPr>
    </w:p>
    <w:p w14:paraId="2F35D617" w14:textId="77777777" w:rsidR="00213B0A" w:rsidRDefault="00213B0A" w:rsidP="00024E77">
      <w:pPr>
        <w:spacing w:line="240" w:lineRule="auto"/>
        <w:rPr>
          <w:sz w:val="20"/>
          <w:szCs w:val="20"/>
        </w:rPr>
      </w:pPr>
    </w:p>
    <w:p w14:paraId="6B6C0C2E" w14:textId="3F630B78" w:rsidR="00875795" w:rsidRPr="00B70E4B" w:rsidRDefault="00875795" w:rsidP="00024E77">
      <w:pPr>
        <w:spacing w:line="240" w:lineRule="auto"/>
        <w:rPr>
          <w:sz w:val="20"/>
          <w:szCs w:val="20"/>
        </w:rPr>
      </w:pPr>
      <w:r w:rsidRPr="00B70E4B">
        <w:rPr>
          <w:sz w:val="20"/>
          <w:szCs w:val="20"/>
        </w:rPr>
        <w:t>Źródła:</w:t>
      </w:r>
    </w:p>
    <w:p w14:paraId="7A6763C9" w14:textId="1C208E4E" w:rsidR="00875795" w:rsidRPr="00B70E4B" w:rsidRDefault="00875795" w:rsidP="00024E77">
      <w:pPr>
        <w:numPr>
          <w:ilvl w:val="0"/>
          <w:numId w:val="5"/>
        </w:numPr>
        <w:spacing w:line="240" w:lineRule="auto"/>
        <w:rPr>
          <w:sz w:val="20"/>
          <w:szCs w:val="20"/>
        </w:rPr>
      </w:pPr>
      <w:r w:rsidRPr="00B70E4B">
        <w:rPr>
          <w:sz w:val="20"/>
          <w:szCs w:val="20"/>
          <w:lang w:val="en-US"/>
        </w:rPr>
        <w:t>Project Management Institute. (2021). </w:t>
      </w:r>
      <w:r w:rsidRPr="00B70E4B">
        <w:rPr>
          <w:i/>
          <w:iCs/>
          <w:sz w:val="20"/>
          <w:szCs w:val="20"/>
          <w:lang w:val="en-US"/>
        </w:rPr>
        <w:t>A Guide to the Project Management Body of Knowledge (PMBOK® Guide) – Seventh Edition and The Standard for Project Management</w:t>
      </w:r>
      <w:r w:rsidRPr="00B70E4B">
        <w:rPr>
          <w:sz w:val="20"/>
          <w:szCs w:val="20"/>
          <w:lang w:val="en-US"/>
        </w:rPr>
        <w:t xml:space="preserve">. </w:t>
      </w:r>
      <w:r w:rsidRPr="00B70E4B">
        <w:rPr>
          <w:sz w:val="20"/>
          <w:szCs w:val="20"/>
        </w:rPr>
        <w:t>Newtown Square, PA: Project Management Institute.</w:t>
      </w:r>
    </w:p>
    <w:sectPr w:rsidR="00875795" w:rsidRPr="00B70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C3D"/>
    <w:multiLevelType w:val="multilevel"/>
    <w:tmpl w:val="C8B6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E0F9E"/>
    <w:multiLevelType w:val="multilevel"/>
    <w:tmpl w:val="857C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56D20"/>
    <w:multiLevelType w:val="multilevel"/>
    <w:tmpl w:val="5BF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B6CEE"/>
    <w:multiLevelType w:val="multilevel"/>
    <w:tmpl w:val="6D1A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F01E9"/>
    <w:multiLevelType w:val="multilevel"/>
    <w:tmpl w:val="F37E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47943">
    <w:abstractNumId w:val="4"/>
  </w:num>
  <w:num w:numId="2" w16cid:durableId="249584299">
    <w:abstractNumId w:val="3"/>
  </w:num>
  <w:num w:numId="3" w16cid:durableId="1275861584">
    <w:abstractNumId w:val="2"/>
  </w:num>
  <w:num w:numId="4" w16cid:durableId="1958756466">
    <w:abstractNumId w:val="1"/>
  </w:num>
  <w:num w:numId="5" w16cid:durableId="203541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14"/>
    <w:rsid w:val="0001556B"/>
    <w:rsid w:val="00024E77"/>
    <w:rsid w:val="00102770"/>
    <w:rsid w:val="00117BC3"/>
    <w:rsid w:val="00176D83"/>
    <w:rsid w:val="001C39F3"/>
    <w:rsid w:val="001E4029"/>
    <w:rsid w:val="00213B0A"/>
    <w:rsid w:val="0025796D"/>
    <w:rsid w:val="002C39CE"/>
    <w:rsid w:val="002F1BDC"/>
    <w:rsid w:val="00362DB1"/>
    <w:rsid w:val="00393F45"/>
    <w:rsid w:val="00404E4C"/>
    <w:rsid w:val="0042725C"/>
    <w:rsid w:val="00457ED9"/>
    <w:rsid w:val="005760CD"/>
    <w:rsid w:val="005D234E"/>
    <w:rsid w:val="005F3702"/>
    <w:rsid w:val="00615F3F"/>
    <w:rsid w:val="006C5FD8"/>
    <w:rsid w:val="007424E9"/>
    <w:rsid w:val="007636AA"/>
    <w:rsid w:val="007D3254"/>
    <w:rsid w:val="00871C41"/>
    <w:rsid w:val="00873137"/>
    <w:rsid w:val="00875795"/>
    <w:rsid w:val="008A5DCE"/>
    <w:rsid w:val="00991FF2"/>
    <w:rsid w:val="00A03E52"/>
    <w:rsid w:val="00AD39E4"/>
    <w:rsid w:val="00B4057A"/>
    <w:rsid w:val="00B4331F"/>
    <w:rsid w:val="00B436E3"/>
    <w:rsid w:val="00B70E4B"/>
    <w:rsid w:val="00B711DE"/>
    <w:rsid w:val="00BF7FFC"/>
    <w:rsid w:val="00C40014"/>
    <w:rsid w:val="00C7069E"/>
    <w:rsid w:val="00DA309B"/>
    <w:rsid w:val="00E2123E"/>
    <w:rsid w:val="00E51AD5"/>
    <w:rsid w:val="00F7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26CB"/>
  <w15:chartTrackingRefBased/>
  <w15:docId w15:val="{C19D63EF-AC66-45FF-A380-1A69C8CDB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6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76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76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6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6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6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6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6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6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6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76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76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6B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6B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6B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6B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6B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6B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76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6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6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76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76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6B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76B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6B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6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6B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76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854</Words>
  <Characters>5130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Kubś (272662)</dc:creator>
  <cp:keywords/>
  <dc:description/>
  <cp:lastModifiedBy>Mikołaj Kubś (272662)</cp:lastModifiedBy>
  <cp:revision>35</cp:revision>
  <dcterms:created xsi:type="dcterms:W3CDTF">2025-05-09T20:36:00Z</dcterms:created>
  <dcterms:modified xsi:type="dcterms:W3CDTF">2025-05-10T21:33:00Z</dcterms:modified>
</cp:coreProperties>
</file>