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42034691"/>
        <w:docPartObj>
          <w:docPartGallery w:val="Cover Pages"/>
          <w:docPartUnique/>
        </w:docPartObj>
      </w:sdtPr>
      <w:sdtContent>
        <w:p w14:paraId="63E90886" w14:textId="5EB3FC41" w:rsidR="00CA7064" w:rsidRDefault="00CA7064">
          <w:r>
            <w:rPr>
              <w:noProof/>
            </w:rPr>
            <mc:AlternateContent>
              <mc:Choice Requires="wpg">
                <w:drawing>
                  <wp:anchor distT="0" distB="0" distL="114300" distR="114300" simplePos="0" relativeHeight="251662336" behindDoc="0" locked="0" layoutInCell="1" allowOverlap="1" wp14:anchorId="7DF8F097" wp14:editId="5232D0F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274D06"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881E41" wp14:editId="30A447C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EF2EB2" w14:textId="5514F21E" w:rsidR="00CA7064" w:rsidRPr="00CA7064" w:rsidRDefault="00CA7064">
                                    <w:pPr>
                                      <w:pStyle w:val="NoSpacing"/>
                                      <w:jc w:val="right"/>
                                      <w:rPr>
                                        <w:color w:val="595959" w:themeColor="text1" w:themeTint="A6"/>
                                        <w:sz w:val="28"/>
                                        <w:szCs w:val="28"/>
                                        <w:lang w:val="es-ES"/>
                                      </w:rPr>
                                    </w:pPr>
                                    <w:r w:rsidRPr="00CA7064">
                                      <w:rPr>
                                        <w:color w:val="595959" w:themeColor="text1" w:themeTint="A6"/>
                                        <w:sz w:val="28"/>
                                        <w:szCs w:val="28"/>
                                        <w:lang w:val="es-ES"/>
                                      </w:rPr>
                                      <w:t>Logan MacPhail</w:t>
                                    </w:r>
                                  </w:p>
                                </w:sdtContent>
                              </w:sdt>
                              <w:p w14:paraId="06DF37F0" w14:textId="043A0F78" w:rsidR="00CA7064" w:rsidRPr="00CA7064" w:rsidRDefault="00000000">
                                <w:pPr>
                                  <w:pStyle w:val="NoSpacing"/>
                                  <w:jc w:val="right"/>
                                  <w:rPr>
                                    <w:color w:val="595959" w:themeColor="text1" w:themeTint="A6"/>
                                    <w:sz w:val="18"/>
                                    <w:szCs w:val="18"/>
                                    <w:lang w:val="es-ES"/>
                                  </w:rPr>
                                </w:pPr>
                                <w:sdt>
                                  <w:sdtPr>
                                    <w:rPr>
                                      <w:color w:val="595959" w:themeColor="text1" w:themeTint="A6"/>
                                      <w:sz w:val="18"/>
                                      <w:szCs w:val="18"/>
                                      <w:lang w:val="es-ES"/>
                                    </w:rPr>
                                    <w:alias w:val="Email"/>
                                    <w:tag w:val="Email"/>
                                    <w:id w:val="942260680"/>
                                    <w:dataBinding w:prefixMappings="xmlns:ns0='http://schemas.microsoft.com/office/2006/coverPageProps' " w:xpath="/ns0:CoverPageProperties[1]/ns0:CompanyEmail[1]" w:storeItemID="{55AF091B-3C7A-41E3-B477-F2FDAA23CFDA}"/>
                                    <w:text/>
                                  </w:sdtPr>
                                  <w:sdtContent>
                                    <w:r w:rsidR="00CA7064" w:rsidRPr="00CA7064">
                                      <w:rPr>
                                        <w:color w:val="595959" w:themeColor="text1" w:themeTint="A6"/>
                                        <w:sz w:val="18"/>
                                        <w:szCs w:val="18"/>
                                        <w:lang w:val="es-ES"/>
                                      </w:rPr>
                                      <w:t>loganmacphail2026@u.northwestern.edu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881E41"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EF2EB2" w14:textId="5514F21E" w:rsidR="00CA7064" w:rsidRPr="00CA7064" w:rsidRDefault="00CA7064">
                              <w:pPr>
                                <w:pStyle w:val="NoSpacing"/>
                                <w:jc w:val="right"/>
                                <w:rPr>
                                  <w:color w:val="595959" w:themeColor="text1" w:themeTint="A6"/>
                                  <w:sz w:val="28"/>
                                  <w:szCs w:val="28"/>
                                  <w:lang w:val="es-ES"/>
                                </w:rPr>
                              </w:pPr>
                              <w:r w:rsidRPr="00CA7064">
                                <w:rPr>
                                  <w:color w:val="595959" w:themeColor="text1" w:themeTint="A6"/>
                                  <w:sz w:val="28"/>
                                  <w:szCs w:val="28"/>
                                  <w:lang w:val="es-ES"/>
                                </w:rPr>
                                <w:t>Logan MacPhail</w:t>
                              </w:r>
                            </w:p>
                          </w:sdtContent>
                        </w:sdt>
                        <w:p w14:paraId="06DF37F0" w14:textId="043A0F78" w:rsidR="00CA7064" w:rsidRPr="00CA7064" w:rsidRDefault="00000000">
                          <w:pPr>
                            <w:pStyle w:val="NoSpacing"/>
                            <w:jc w:val="right"/>
                            <w:rPr>
                              <w:color w:val="595959" w:themeColor="text1" w:themeTint="A6"/>
                              <w:sz w:val="18"/>
                              <w:szCs w:val="18"/>
                              <w:lang w:val="es-ES"/>
                            </w:rPr>
                          </w:pPr>
                          <w:sdt>
                            <w:sdtPr>
                              <w:rPr>
                                <w:color w:val="595959" w:themeColor="text1" w:themeTint="A6"/>
                                <w:sz w:val="18"/>
                                <w:szCs w:val="18"/>
                                <w:lang w:val="es-ES"/>
                              </w:rPr>
                              <w:alias w:val="Email"/>
                              <w:tag w:val="Email"/>
                              <w:id w:val="942260680"/>
                              <w:dataBinding w:prefixMappings="xmlns:ns0='http://schemas.microsoft.com/office/2006/coverPageProps' " w:xpath="/ns0:CoverPageProperties[1]/ns0:CompanyEmail[1]" w:storeItemID="{55AF091B-3C7A-41E3-B477-F2FDAA23CFDA}"/>
                              <w:text/>
                            </w:sdtPr>
                            <w:sdtContent>
                              <w:r w:rsidR="00CA7064" w:rsidRPr="00CA7064">
                                <w:rPr>
                                  <w:color w:val="595959" w:themeColor="text1" w:themeTint="A6"/>
                                  <w:sz w:val="18"/>
                                  <w:szCs w:val="18"/>
                                  <w:lang w:val="es-ES"/>
                                </w:rPr>
                                <w:t>loganmacphail2026@u.northwestern.edu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8FB8B2" wp14:editId="296276D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0F215C1" w14:textId="40852D4F" w:rsidR="00CA7064" w:rsidRDefault="00CA7064" w:rsidP="00CA7064">
                                    <w:pPr>
                                      <w:pStyle w:val="NoSpacing"/>
                                      <w:ind w:right="100"/>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8FB8B2" id="Text Box 2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0F215C1" w14:textId="40852D4F" w:rsidR="00CA7064" w:rsidRDefault="00CA7064" w:rsidP="00CA7064">
                              <w:pPr>
                                <w:pStyle w:val="NoSpacing"/>
                                <w:ind w:right="100"/>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2CB948" wp14:editId="4175A58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8A302" w14:textId="259FE6E8" w:rsidR="00CA706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7064">
                                      <w:rPr>
                                        <w:caps/>
                                        <w:color w:val="4472C4" w:themeColor="accent1"/>
                                        <w:sz w:val="64"/>
                                        <w:szCs w:val="64"/>
                                      </w:rPr>
                                      <w:t>MacPhail Quantitative Investment Firm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226CC8" w14:textId="791243DF" w:rsidR="00CA7064" w:rsidRDefault="00957808">
                                    <w:pPr>
                                      <w:jc w:val="right"/>
                                      <w:rPr>
                                        <w:smallCaps/>
                                        <w:color w:val="404040" w:themeColor="text1" w:themeTint="BF"/>
                                        <w:sz w:val="36"/>
                                        <w:szCs w:val="36"/>
                                      </w:rPr>
                                    </w:pPr>
                                    <w:r>
                                      <w:rPr>
                                        <w:color w:val="404040" w:themeColor="text1" w:themeTint="BF"/>
                                        <w:sz w:val="36"/>
                                        <w:szCs w:val="36"/>
                                      </w:rPr>
                                      <w:t>Performance Evaluation</w:t>
                                    </w:r>
                                  </w:p>
                                </w:sdtContent>
                              </w:sdt>
                              <w:p w14:paraId="6C8736E3" w14:textId="77777777" w:rsidR="00123F67" w:rsidRDefault="00123F67"/>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2CB948" id="Text Box 25"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4AC8A302" w14:textId="259FE6E8" w:rsidR="00CA706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7064">
                                <w:rPr>
                                  <w:caps/>
                                  <w:color w:val="4472C4" w:themeColor="accent1"/>
                                  <w:sz w:val="64"/>
                                  <w:szCs w:val="64"/>
                                </w:rPr>
                                <w:t>MacPhail Quantitative Investment Firm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226CC8" w14:textId="791243DF" w:rsidR="00CA7064" w:rsidRDefault="00957808">
                              <w:pPr>
                                <w:jc w:val="right"/>
                                <w:rPr>
                                  <w:smallCaps/>
                                  <w:color w:val="404040" w:themeColor="text1" w:themeTint="BF"/>
                                  <w:sz w:val="36"/>
                                  <w:szCs w:val="36"/>
                                </w:rPr>
                              </w:pPr>
                              <w:r>
                                <w:rPr>
                                  <w:color w:val="404040" w:themeColor="text1" w:themeTint="BF"/>
                                  <w:sz w:val="36"/>
                                  <w:szCs w:val="36"/>
                                </w:rPr>
                                <w:t>Performance Evaluation</w:t>
                              </w:r>
                            </w:p>
                          </w:sdtContent>
                        </w:sdt>
                        <w:p w14:paraId="6C8736E3" w14:textId="77777777" w:rsidR="00123F67" w:rsidRDefault="00123F67"/>
                      </w:txbxContent>
                    </v:textbox>
                    <w10:wrap type="square" anchorx="page" anchory="page"/>
                  </v:shape>
                </w:pict>
              </mc:Fallback>
            </mc:AlternateContent>
          </w:r>
        </w:p>
        <w:p w14:paraId="2FA698A6" w14:textId="5E9375F6" w:rsidR="00CA7064" w:rsidRDefault="00CA7064">
          <w:r>
            <w:br w:type="page"/>
          </w:r>
        </w:p>
      </w:sdtContent>
    </w:sdt>
    <w:p w14:paraId="7BF0A13F" w14:textId="3F6E5E71" w:rsidR="006A5AC7" w:rsidRPr="006A5AC7" w:rsidRDefault="006A5AC7" w:rsidP="006A5AC7">
      <w:pPr>
        <w:spacing w:line="480" w:lineRule="auto"/>
        <w:ind w:firstLine="720"/>
        <w:rPr>
          <w:rFonts w:ascii="Times New Roman" w:eastAsia="Times New Roman" w:hAnsi="Times New Roman" w:cs="Times New Roman"/>
          <w:kern w:val="0"/>
          <w14:ligatures w14:val="none"/>
        </w:rPr>
      </w:pPr>
      <w:r w:rsidRPr="006A5AC7">
        <w:rPr>
          <w:rFonts w:ascii="Times New Roman" w:eastAsia="Times New Roman" w:hAnsi="Times New Roman" w:cs="Times New Roman"/>
          <w:color w:val="000000"/>
          <w:kern w:val="0"/>
          <w14:ligatures w14:val="none"/>
        </w:rPr>
        <w:lastRenderedPageBreak/>
        <w:t xml:space="preserve">The MacPhail Quantitative Investment Firm (MQIF) is focused on combining optimal long-term growth with risk-adjusted returns over the next five years. MQIF is the ideal firm for the low-risk investor seeking a quantitative approach to investing. We’ll break down MQIF’s </w:t>
      </w:r>
      <w:r w:rsidR="00262557">
        <w:rPr>
          <w:rFonts w:ascii="Times New Roman" w:eastAsia="Times New Roman" w:hAnsi="Times New Roman" w:cs="Times New Roman"/>
          <w:color w:val="000000"/>
          <w:kern w:val="0"/>
          <w14:ligatures w14:val="none"/>
        </w:rPr>
        <w:t>performance evaluation process</w:t>
      </w:r>
      <w:r w:rsidRPr="006A5AC7">
        <w:rPr>
          <w:rFonts w:ascii="Times New Roman" w:eastAsia="Times New Roman" w:hAnsi="Times New Roman" w:cs="Times New Roman"/>
          <w:color w:val="000000"/>
          <w:kern w:val="0"/>
          <w14:ligatures w14:val="none"/>
        </w:rPr>
        <w:t xml:space="preserve"> below, showing you how you can still make money over five years without risking too much. </w:t>
      </w:r>
    </w:p>
    <w:p w14:paraId="77EEBDD6" w14:textId="17187CA3" w:rsidR="006A5AC7" w:rsidRPr="006A5AC7" w:rsidRDefault="006A5AC7" w:rsidP="00957808">
      <w:pPr>
        <w:rPr>
          <w:rFonts w:ascii="Times New Roman" w:eastAsia="Times New Roman" w:hAnsi="Times New Roman" w:cs="Times New Roman"/>
          <w:kern w:val="0"/>
          <w14:ligatures w14:val="none"/>
        </w:rPr>
      </w:pPr>
      <w:r w:rsidRPr="006A5AC7">
        <w:rPr>
          <w:rFonts w:ascii="Times New Roman" w:eastAsia="Times New Roman" w:hAnsi="Times New Roman" w:cs="Times New Roman"/>
          <w:b/>
          <w:bCs/>
          <w:color w:val="000000"/>
          <w:kern w:val="0"/>
          <w:sz w:val="28"/>
          <w:szCs w:val="28"/>
          <w14:ligatures w14:val="none"/>
        </w:rPr>
        <w:t> </w:t>
      </w:r>
    </w:p>
    <w:p w14:paraId="1CF5A01F" w14:textId="77777777" w:rsidR="006A5AC7" w:rsidRPr="006A5AC7" w:rsidRDefault="006A5AC7" w:rsidP="006A5AC7">
      <w:pPr>
        <w:spacing w:line="480" w:lineRule="auto"/>
        <w:rPr>
          <w:rFonts w:ascii="Times New Roman" w:eastAsia="Times New Roman" w:hAnsi="Times New Roman" w:cs="Times New Roman"/>
          <w:kern w:val="0"/>
          <w14:ligatures w14:val="none"/>
        </w:rPr>
      </w:pPr>
      <w:r w:rsidRPr="006A5AC7">
        <w:rPr>
          <w:rFonts w:ascii="Times New Roman" w:eastAsia="Times New Roman" w:hAnsi="Times New Roman" w:cs="Times New Roman"/>
          <w:b/>
          <w:bCs/>
          <w:color w:val="000000"/>
          <w:kern w:val="0"/>
          <w:sz w:val="28"/>
          <w:szCs w:val="28"/>
          <w14:ligatures w14:val="none"/>
        </w:rPr>
        <w:t>Performance Evaluation</w:t>
      </w:r>
    </w:p>
    <w:p w14:paraId="160C95F6" w14:textId="48BBF505" w:rsidR="006A5AC7" w:rsidRDefault="006A5AC7" w:rsidP="006A0613">
      <w:pPr>
        <w:spacing w:line="480" w:lineRule="auto"/>
        <w:rPr>
          <w:rFonts w:ascii="Times New Roman" w:eastAsia="Times New Roman" w:hAnsi="Times New Roman" w:cs="Times New Roman"/>
          <w:color w:val="000000"/>
          <w:kern w:val="0"/>
          <w14:ligatures w14:val="none"/>
        </w:rPr>
      </w:pPr>
      <w:r w:rsidRPr="006A5AC7">
        <w:rPr>
          <w:rFonts w:ascii="Times New Roman" w:eastAsia="Times New Roman" w:hAnsi="Times New Roman" w:cs="Times New Roman"/>
          <w:color w:val="000000"/>
          <w:kern w:val="0"/>
          <w14:ligatures w14:val="none"/>
        </w:rPr>
        <w:t>        </w:t>
      </w:r>
      <w:r w:rsidRPr="006A5AC7">
        <w:rPr>
          <w:rFonts w:ascii="Times New Roman" w:eastAsia="Times New Roman" w:hAnsi="Times New Roman" w:cs="Times New Roman"/>
          <w:color w:val="000000"/>
          <w:kern w:val="0"/>
          <w14:ligatures w14:val="none"/>
        </w:rPr>
        <w:tab/>
        <w:t xml:space="preserve">To evaluate the performance of the portfolio, </w:t>
      </w:r>
      <w:r w:rsidR="00262557" w:rsidRPr="006A5AC7">
        <w:rPr>
          <w:rFonts w:ascii="Times New Roman" w:eastAsia="Times New Roman" w:hAnsi="Times New Roman" w:cs="Times New Roman"/>
          <w:color w:val="000000"/>
          <w:kern w:val="0"/>
          <w14:ligatures w14:val="none"/>
        </w:rPr>
        <w:t>backtesting</w:t>
      </w:r>
      <w:r w:rsidRPr="006A5AC7">
        <w:rPr>
          <w:rFonts w:ascii="Times New Roman" w:eastAsia="Times New Roman" w:hAnsi="Times New Roman" w:cs="Times New Roman"/>
          <w:color w:val="000000"/>
          <w:kern w:val="0"/>
          <w14:ligatures w14:val="none"/>
        </w:rPr>
        <w:t xml:space="preserve"> is applied over different periods to assess how the methodology would perform in various scenarios. Performance can be evaluated in various market environments or during extreme scenarios to determine how resilient the portfolio is in terms of risk. Because the ETFs and their associated weights are dynamically chosen, the portfolio methodology can be tested over any </w:t>
      </w:r>
      <w:r w:rsidR="00262557" w:rsidRPr="006A5AC7">
        <w:rPr>
          <w:rFonts w:ascii="Times New Roman" w:eastAsia="Times New Roman" w:hAnsi="Times New Roman" w:cs="Times New Roman"/>
          <w:color w:val="000000"/>
          <w:kern w:val="0"/>
          <w14:ligatures w14:val="none"/>
        </w:rPr>
        <w:t>period</w:t>
      </w:r>
      <w:r w:rsidRPr="006A5AC7">
        <w:rPr>
          <w:rFonts w:ascii="Times New Roman" w:eastAsia="Times New Roman" w:hAnsi="Times New Roman" w:cs="Times New Roman"/>
          <w:color w:val="000000"/>
          <w:kern w:val="0"/>
          <w14:ligatures w14:val="none"/>
        </w:rPr>
        <w:t>. The portfolio can also be evaluated across various metrics, including returns, volatility, the Sharpe ratio, Beta, and Alpha.</w:t>
      </w:r>
      <w:r w:rsidR="00F26821">
        <w:rPr>
          <w:rFonts w:ascii="Times New Roman" w:eastAsia="Times New Roman" w:hAnsi="Times New Roman" w:cs="Times New Roman"/>
          <w:color w:val="000000"/>
          <w:kern w:val="0"/>
          <w14:ligatures w14:val="none"/>
        </w:rPr>
        <w:t xml:space="preserve"> G</w:t>
      </w:r>
      <w:r w:rsidRPr="006A5AC7">
        <w:rPr>
          <w:rFonts w:ascii="Times New Roman" w:eastAsia="Times New Roman" w:hAnsi="Times New Roman" w:cs="Times New Roman"/>
          <w:color w:val="000000"/>
          <w:kern w:val="0"/>
          <w14:ligatures w14:val="none"/>
        </w:rPr>
        <w:t xml:space="preserve">iven the goals of long-term growth and risk-adjusted returns, it makes sense to compare the portfolio against similar strategies. A 60/40 split of the S&amp;P 500 (SPY) and the US Aggregate Bond ETF (AGG) over the same periods provides a good benchmark of a portfolio that’s heavily focused on equities and bonds. </w:t>
      </w:r>
    </w:p>
    <w:p w14:paraId="4ADFD21C" w14:textId="7EE4D760" w:rsidR="00262557" w:rsidRDefault="00262557" w:rsidP="006A5AC7">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t xml:space="preserve">Since we're evaluating the strategy over five years, MQIF's portfolio is evaluated against every five-year stretch since the year 2000. For example, 2000-2004, 2001-2005, 2002-2006, would all be permutations to evaluate. This enables MQIF to evaluate the portfolio in both strong and weak market conditions. The 2008 Financial Crisis, as well as the COVID-19 pandemic in 2020, give good opportunities to evaluate the portfolio in extreme conditions to prove its </w:t>
      </w:r>
      <w:r w:rsidR="00470D40">
        <w:rPr>
          <w:rFonts w:ascii="Times New Roman" w:eastAsia="Times New Roman" w:hAnsi="Times New Roman" w:cs="Times New Roman"/>
          <w:color w:val="000000"/>
          <w:kern w:val="0"/>
          <w14:ligatures w14:val="none"/>
        </w:rPr>
        <w:t xml:space="preserve">ability to limit risk. </w:t>
      </w:r>
    </w:p>
    <w:p w14:paraId="6A000A8A" w14:textId="77777777" w:rsidR="00483018" w:rsidRDefault="00483018" w:rsidP="006A5AC7">
      <w:pPr>
        <w:spacing w:line="480" w:lineRule="auto"/>
        <w:rPr>
          <w:rFonts w:ascii="Times New Roman" w:eastAsia="Times New Roman" w:hAnsi="Times New Roman" w:cs="Times New Roman"/>
          <w:b/>
          <w:bCs/>
          <w:color w:val="000000"/>
          <w:kern w:val="0"/>
          <w:sz w:val="28"/>
          <w:szCs w:val="28"/>
          <w14:ligatures w14:val="none"/>
        </w:rPr>
      </w:pPr>
    </w:p>
    <w:p w14:paraId="6A7F98C8" w14:textId="7FDD5B2F" w:rsidR="00F26821" w:rsidRDefault="00F26821" w:rsidP="006A5AC7">
      <w:pPr>
        <w:spacing w:line="480" w:lineRule="auto"/>
        <w:rPr>
          <w:rFonts w:ascii="Times New Roman" w:eastAsia="Times New Roman" w:hAnsi="Times New Roman" w:cs="Times New Roman"/>
          <w:b/>
          <w:bCs/>
          <w:color w:val="000000"/>
          <w:kern w:val="0"/>
          <w:sz w:val="28"/>
          <w:szCs w:val="28"/>
          <w14:ligatures w14:val="none"/>
        </w:rPr>
      </w:pPr>
      <w:r w:rsidRPr="00F26821">
        <w:rPr>
          <w:rFonts w:ascii="Times New Roman" w:eastAsia="Times New Roman" w:hAnsi="Times New Roman" w:cs="Times New Roman"/>
          <w:b/>
          <w:bCs/>
          <w:color w:val="000000"/>
          <w:kern w:val="0"/>
          <w:sz w:val="28"/>
          <w:szCs w:val="28"/>
          <w14:ligatures w14:val="none"/>
        </w:rPr>
        <w:lastRenderedPageBreak/>
        <w:t>Performance Summary</w:t>
      </w:r>
    </w:p>
    <w:p w14:paraId="71768FD8" w14:textId="0917D120" w:rsidR="00F26821" w:rsidRDefault="00F26821" w:rsidP="006A5AC7">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sz w:val="28"/>
          <w:szCs w:val="28"/>
          <w14:ligatures w14:val="none"/>
        </w:rPr>
        <w:tab/>
      </w:r>
      <w:r w:rsidR="00483018">
        <w:rPr>
          <w:rFonts w:ascii="Times New Roman" w:eastAsia="Times New Roman" w:hAnsi="Times New Roman" w:cs="Times New Roman"/>
          <w:color w:val="000000"/>
          <w:kern w:val="0"/>
          <w14:ligatures w14:val="none"/>
        </w:rPr>
        <w:t>Rather than look at every permutation from 2000 to 2025, we'll focus on a subset of five year stretches that encompass the 2008 Financial Crisis and the 2019 COVID-19 pandemic. Below is a chart comparing the Sharpe Ratios of the MQIF portfolio vs. the 60/40 split of SPY and AGG</w:t>
      </w:r>
    </w:p>
    <w:p w14:paraId="329EE399" w14:textId="48986884" w:rsidR="00483018" w:rsidRDefault="00483018" w:rsidP="006A5AC7">
      <w:pPr>
        <w:spacing w:line="480" w:lineRule="auto"/>
        <w:rPr>
          <w:rFonts w:ascii="Times New Roman" w:eastAsia="Times New Roman" w:hAnsi="Times New Roman" w:cs="Times New Roman"/>
          <w:color w:val="000000"/>
          <w:kern w:val="0"/>
          <w14:ligatures w14:val="none"/>
        </w:rPr>
      </w:pPr>
      <w:r w:rsidRPr="00483018">
        <w:rPr>
          <w:rFonts w:ascii="Times New Roman" w:eastAsia="Times New Roman" w:hAnsi="Times New Roman" w:cs="Times New Roman"/>
          <w:color w:val="000000"/>
          <w:kern w:val="0"/>
          <w14:ligatures w14:val="none"/>
        </w:rPr>
        <w:drawing>
          <wp:inline distT="0" distB="0" distL="0" distR="0" wp14:anchorId="19EE666C" wp14:editId="01E18620">
            <wp:extent cx="5943600" cy="3227705"/>
            <wp:effectExtent l="0" t="0" r="0" b="0"/>
            <wp:docPr id="1502250073"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50073" name="Picture 1" descr="A graph of different colored bars&#10;&#10;AI-generated content may be incorrect."/>
                    <pic:cNvPicPr/>
                  </pic:nvPicPr>
                  <pic:blipFill>
                    <a:blip r:embed="rId9"/>
                    <a:stretch>
                      <a:fillRect/>
                    </a:stretch>
                  </pic:blipFill>
                  <pic:spPr>
                    <a:xfrm>
                      <a:off x="0" y="0"/>
                      <a:ext cx="5943600" cy="3227705"/>
                    </a:xfrm>
                    <a:prstGeom prst="rect">
                      <a:avLst/>
                    </a:prstGeom>
                  </pic:spPr>
                </pic:pic>
              </a:graphicData>
            </a:graphic>
          </wp:inline>
        </w:drawing>
      </w:r>
    </w:p>
    <w:p w14:paraId="58F09DE3" w14:textId="7B4E9C7C" w:rsidR="00483018" w:rsidRDefault="00483018" w:rsidP="006A5AC7">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Unfortunately, the 60/40 SPY/AGG portfolio has higher Sharpe Ratios in each five year split except the 2005 to 2010 stretch. </w:t>
      </w:r>
      <w:r w:rsidR="002B40E5">
        <w:rPr>
          <w:rFonts w:ascii="Times New Roman" w:eastAsia="Times New Roman" w:hAnsi="Times New Roman" w:cs="Times New Roman"/>
          <w:color w:val="000000"/>
          <w:kern w:val="0"/>
          <w14:ligatures w14:val="none"/>
        </w:rPr>
        <w:t>We can see in the chart below that the MQIF has higher returns than the 60/40 SPY/AGG split in 4 of the 7 periods.</w:t>
      </w:r>
    </w:p>
    <w:p w14:paraId="61EE58E0" w14:textId="4250216D" w:rsidR="002B40E5" w:rsidRDefault="002B40E5" w:rsidP="006A5AC7">
      <w:pPr>
        <w:spacing w:line="480" w:lineRule="auto"/>
        <w:rPr>
          <w:rFonts w:ascii="Times New Roman" w:eastAsia="Times New Roman" w:hAnsi="Times New Roman" w:cs="Times New Roman"/>
          <w:color w:val="000000"/>
          <w:kern w:val="0"/>
          <w14:ligatures w14:val="none"/>
        </w:rPr>
      </w:pPr>
      <w:r w:rsidRPr="002B40E5">
        <w:rPr>
          <w:rFonts w:ascii="Times New Roman" w:eastAsia="Times New Roman" w:hAnsi="Times New Roman" w:cs="Times New Roman"/>
          <w:color w:val="000000"/>
          <w:kern w:val="0"/>
          <w14:ligatures w14:val="none"/>
        </w:rPr>
        <w:lastRenderedPageBreak/>
        <w:drawing>
          <wp:inline distT="0" distB="0" distL="0" distR="0" wp14:anchorId="171F3462" wp14:editId="2335AD08">
            <wp:extent cx="5943600" cy="3259455"/>
            <wp:effectExtent l="0" t="0" r="0" b="4445"/>
            <wp:docPr id="1396078134" name="Picture 1" descr="A graph of a graph with numbers and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78134" name="Picture 1" descr="A graph of a graph with numbers and a bar chart&#10;&#10;AI-generated content may be incorrect."/>
                    <pic:cNvPicPr/>
                  </pic:nvPicPr>
                  <pic:blipFill>
                    <a:blip r:embed="rId10"/>
                    <a:stretch>
                      <a:fillRect/>
                    </a:stretch>
                  </pic:blipFill>
                  <pic:spPr>
                    <a:xfrm>
                      <a:off x="0" y="0"/>
                      <a:ext cx="5943600" cy="3259455"/>
                    </a:xfrm>
                    <a:prstGeom prst="rect">
                      <a:avLst/>
                    </a:prstGeom>
                  </pic:spPr>
                </pic:pic>
              </a:graphicData>
            </a:graphic>
          </wp:inline>
        </w:drawing>
      </w:r>
    </w:p>
    <w:p w14:paraId="5923F8E0" w14:textId="595C8901" w:rsidR="002B40E5" w:rsidRDefault="002B40E5" w:rsidP="006A5AC7">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However, if we look at the volatility of the portfolios in each period, we can see that the MQIF is experiencing higher volatility consistently compared to the SPY/AGG portfolio.</w:t>
      </w:r>
    </w:p>
    <w:p w14:paraId="1262E1FC" w14:textId="6EB17463" w:rsidR="002B40E5" w:rsidRPr="00483018" w:rsidRDefault="002B40E5" w:rsidP="006A5AC7">
      <w:pPr>
        <w:spacing w:line="480" w:lineRule="auto"/>
        <w:rPr>
          <w:rFonts w:ascii="Times New Roman" w:eastAsia="Times New Roman" w:hAnsi="Times New Roman" w:cs="Times New Roman"/>
          <w:color w:val="000000"/>
          <w:kern w:val="0"/>
          <w14:ligatures w14:val="none"/>
        </w:rPr>
      </w:pPr>
      <w:r w:rsidRPr="002B40E5">
        <w:rPr>
          <w:rFonts w:ascii="Times New Roman" w:eastAsia="Times New Roman" w:hAnsi="Times New Roman" w:cs="Times New Roman"/>
          <w:color w:val="000000"/>
          <w:kern w:val="0"/>
          <w14:ligatures w14:val="none"/>
        </w:rPr>
        <w:drawing>
          <wp:inline distT="0" distB="0" distL="0" distR="0" wp14:anchorId="28CAE8B6" wp14:editId="40243D9D">
            <wp:extent cx="5943600" cy="3220720"/>
            <wp:effectExtent l="0" t="0" r="0" b="5080"/>
            <wp:docPr id="52185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56752" name=""/>
                    <pic:cNvPicPr/>
                  </pic:nvPicPr>
                  <pic:blipFill>
                    <a:blip r:embed="rId11"/>
                    <a:stretch>
                      <a:fillRect/>
                    </a:stretch>
                  </pic:blipFill>
                  <pic:spPr>
                    <a:xfrm>
                      <a:off x="0" y="0"/>
                      <a:ext cx="5943600" cy="3220720"/>
                    </a:xfrm>
                    <a:prstGeom prst="rect">
                      <a:avLst/>
                    </a:prstGeom>
                  </pic:spPr>
                </pic:pic>
              </a:graphicData>
            </a:graphic>
          </wp:inline>
        </w:drawing>
      </w:r>
    </w:p>
    <w:p w14:paraId="7D0874B8" w14:textId="77777777" w:rsidR="002B40E5" w:rsidRDefault="002B40E5" w:rsidP="00F26821">
      <w:pPr>
        <w:spacing w:line="480" w:lineRule="auto"/>
        <w:rPr>
          <w:rFonts w:ascii="Times New Roman" w:eastAsia="Times New Roman" w:hAnsi="Times New Roman" w:cs="Times New Roman"/>
          <w:b/>
          <w:bCs/>
          <w:color w:val="000000"/>
          <w:kern w:val="0"/>
          <w:sz w:val="28"/>
          <w:szCs w:val="28"/>
          <w14:ligatures w14:val="none"/>
        </w:rPr>
      </w:pPr>
    </w:p>
    <w:p w14:paraId="711C392D" w14:textId="77777777" w:rsidR="002B40E5" w:rsidRDefault="002B40E5" w:rsidP="00F26821">
      <w:pPr>
        <w:spacing w:line="480" w:lineRule="auto"/>
        <w:rPr>
          <w:rFonts w:ascii="Times New Roman" w:eastAsia="Times New Roman" w:hAnsi="Times New Roman" w:cs="Times New Roman"/>
          <w:b/>
          <w:bCs/>
          <w:color w:val="000000"/>
          <w:kern w:val="0"/>
          <w:sz w:val="28"/>
          <w:szCs w:val="28"/>
          <w14:ligatures w14:val="none"/>
        </w:rPr>
      </w:pPr>
    </w:p>
    <w:p w14:paraId="5F19B8C6" w14:textId="4872A477" w:rsidR="00F26821" w:rsidRPr="006A5AC7" w:rsidRDefault="00F26821" w:rsidP="00F26821">
      <w:pPr>
        <w:spacing w:line="480" w:lineRule="auto"/>
        <w:rPr>
          <w:rFonts w:ascii="Times New Roman" w:eastAsia="Times New Roman" w:hAnsi="Times New Roman" w:cs="Times New Roman"/>
          <w:kern w:val="0"/>
          <w14:ligatures w14:val="none"/>
        </w:rPr>
      </w:pPr>
      <w:r w:rsidRPr="006A5AC7">
        <w:rPr>
          <w:rFonts w:ascii="Times New Roman" w:eastAsia="Times New Roman" w:hAnsi="Times New Roman" w:cs="Times New Roman"/>
          <w:b/>
          <w:bCs/>
          <w:color w:val="000000"/>
          <w:kern w:val="0"/>
          <w:sz w:val="28"/>
          <w:szCs w:val="28"/>
          <w14:ligatures w14:val="none"/>
        </w:rPr>
        <w:lastRenderedPageBreak/>
        <w:t>Compensation</w:t>
      </w:r>
    </w:p>
    <w:p w14:paraId="78D266D5" w14:textId="77777777" w:rsidR="00F26821" w:rsidRPr="006A5AC7" w:rsidRDefault="00F26821" w:rsidP="00F26821">
      <w:pPr>
        <w:spacing w:line="480" w:lineRule="auto"/>
        <w:rPr>
          <w:rFonts w:ascii="Times New Roman" w:eastAsia="Times New Roman" w:hAnsi="Times New Roman" w:cs="Times New Roman"/>
          <w:kern w:val="0"/>
          <w14:ligatures w14:val="none"/>
        </w:rPr>
      </w:pPr>
      <w:r w:rsidRPr="006A5AC7">
        <w:rPr>
          <w:rFonts w:ascii="Times New Roman" w:eastAsia="Times New Roman" w:hAnsi="Times New Roman" w:cs="Times New Roman"/>
          <w:color w:val="000000"/>
          <w:kern w:val="0"/>
          <w14:ligatures w14:val="none"/>
        </w:rPr>
        <w:t>        </w:t>
      </w:r>
      <w:r w:rsidRPr="006A5AC7">
        <w:rPr>
          <w:rFonts w:ascii="Times New Roman" w:eastAsia="Times New Roman" w:hAnsi="Times New Roman" w:cs="Times New Roman"/>
          <w:color w:val="000000"/>
          <w:kern w:val="0"/>
          <w14:ligatures w14:val="none"/>
        </w:rPr>
        <w:tab/>
        <w:t>Given that the portfolio's focus is on long-term growth, risk-adjusted returns, and minimizing risk over a five-year period, compensation is derived from a combination of management fees and performance fees. The management fee is low and transparent, given that we’re managing a systematic ETF portfolio. MQIF charges 0.50% annually. Since MQIF optimizes for risk-adjusted returns, performance fees are tailored around our performance against the 60/40 SPY + AGG benchmark or the AOM. MQIF charges 15% of the excess alpha above the SPY + AGG or AOM. MQIF is compensated when it outperforms realistic alternatives for clients seeking a similar investment approach. MQIF is also compensated 15% of returns that are above a 1.0 Sharpe Ratio. This ensures that MQIFs' incentives are the same as those of its investors in terms of protecting capital and compounding smartly. </w:t>
      </w:r>
    </w:p>
    <w:p w14:paraId="0FC7802F" w14:textId="77777777" w:rsidR="00F26821" w:rsidRPr="006A5AC7" w:rsidRDefault="00F26821" w:rsidP="006A5AC7">
      <w:pPr>
        <w:spacing w:line="480" w:lineRule="auto"/>
        <w:rPr>
          <w:rFonts w:ascii="Times New Roman" w:eastAsia="Times New Roman" w:hAnsi="Times New Roman" w:cs="Times New Roman"/>
          <w:kern w:val="0"/>
          <w14:ligatures w14:val="none"/>
        </w:rPr>
      </w:pPr>
    </w:p>
    <w:p w14:paraId="7BE1C9E4" w14:textId="77777777" w:rsidR="006A5AC7" w:rsidRPr="006A5AC7" w:rsidRDefault="006A5AC7" w:rsidP="006A5AC7">
      <w:pPr>
        <w:rPr>
          <w:rFonts w:ascii="Times New Roman" w:eastAsia="Times New Roman" w:hAnsi="Times New Roman" w:cs="Times New Roman"/>
          <w:kern w:val="0"/>
          <w14:ligatures w14:val="none"/>
        </w:rPr>
      </w:pPr>
      <w:r w:rsidRPr="006A5AC7">
        <w:rPr>
          <w:rFonts w:ascii="Times New Roman" w:eastAsia="Times New Roman" w:hAnsi="Times New Roman" w:cs="Times New Roman"/>
          <w:color w:val="000000"/>
          <w:kern w:val="0"/>
          <w14:ligatures w14:val="none"/>
        </w:rPr>
        <w:t> </w:t>
      </w:r>
    </w:p>
    <w:p w14:paraId="6C41E5C6" w14:textId="77777777" w:rsidR="006A5AC7" w:rsidRPr="006A5AC7" w:rsidRDefault="006A5AC7" w:rsidP="006A5AC7">
      <w:pPr>
        <w:rPr>
          <w:rFonts w:ascii="Times New Roman" w:eastAsia="Times New Roman" w:hAnsi="Times New Roman" w:cs="Times New Roman"/>
          <w:kern w:val="0"/>
          <w14:ligatures w14:val="none"/>
        </w:rPr>
      </w:pPr>
    </w:p>
    <w:p w14:paraId="4FD74E3A" w14:textId="731B5DF6" w:rsidR="00123F67" w:rsidRPr="00123F67" w:rsidRDefault="00123F67" w:rsidP="006A5AC7">
      <w:pPr>
        <w:spacing w:line="480" w:lineRule="auto"/>
        <w:ind w:firstLine="720"/>
        <w:rPr>
          <w:rFonts w:asciiTheme="majorBidi" w:hAnsiTheme="majorBidi" w:cstheme="majorBidi"/>
          <w:kern w:val="0"/>
          <w14:ligatures w14:val="none"/>
        </w:rPr>
      </w:pPr>
    </w:p>
    <w:sectPr w:rsidR="00123F67" w:rsidRPr="00123F67" w:rsidSect="00CA70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84217"/>
    <w:multiLevelType w:val="multilevel"/>
    <w:tmpl w:val="4274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F7940"/>
    <w:multiLevelType w:val="hybridMultilevel"/>
    <w:tmpl w:val="AF26D5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899292847">
    <w:abstractNumId w:val="1"/>
  </w:num>
  <w:num w:numId="2" w16cid:durableId="902644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AC"/>
    <w:rsid w:val="000C59D7"/>
    <w:rsid w:val="000D3D47"/>
    <w:rsid w:val="000E50DB"/>
    <w:rsid w:val="0010155D"/>
    <w:rsid w:val="00123F67"/>
    <w:rsid w:val="00172E66"/>
    <w:rsid w:val="002463AC"/>
    <w:rsid w:val="00262557"/>
    <w:rsid w:val="002B40E5"/>
    <w:rsid w:val="00366211"/>
    <w:rsid w:val="0037421C"/>
    <w:rsid w:val="003871AE"/>
    <w:rsid w:val="0040162B"/>
    <w:rsid w:val="004071CE"/>
    <w:rsid w:val="00470D40"/>
    <w:rsid w:val="00473EA2"/>
    <w:rsid w:val="00483018"/>
    <w:rsid w:val="004C4330"/>
    <w:rsid w:val="005176E2"/>
    <w:rsid w:val="005A658A"/>
    <w:rsid w:val="005A732D"/>
    <w:rsid w:val="005B1E70"/>
    <w:rsid w:val="00657FD0"/>
    <w:rsid w:val="006A0613"/>
    <w:rsid w:val="006A5AC7"/>
    <w:rsid w:val="00714BBB"/>
    <w:rsid w:val="007817AE"/>
    <w:rsid w:val="008946C3"/>
    <w:rsid w:val="008F3D04"/>
    <w:rsid w:val="00911561"/>
    <w:rsid w:val="00957808"/>
    <w:rsid w:val="009764BC"/>
    <w:rsid w:val="00997B3A"/>
    <w:rsid w:val="009F2281"/>
    <w:rsid w:val="00A26CA6"/>
    <w:rsid w:val="00A52B69"/>
    <w:rsid w:val="00A6530A"/>
    <w:rsid w:val="00A95FD9"/>
    <w:rsid w:val="00B36414"/>
    <w:rsid w:val="00B56137"/>
    <w:rsid w:val="00BD5F6F"/>
    <w:rsid w:val="00C248E4"/>
    <w:rsid w:val="00C90CE7"/>
    <w:rsid w:val="00CA7064"/>
    <w:rsid w:val="00D05651"/>
    <w:rsid w:val="00D532DA"/>
    <w:rsid w:val="00D757AA"/>
    <w:rsid w:val="00D8092D"/>
    <w:rsid w:val="00DB4923"/>
    <w:rsid w:val="00E3654B"/>
    <w:rsid w:val="00E82EAE"/>
    <w:rsid w:val="00ED58E3"/>
    <w:rsid w:val="00EE1767"/>
    <w:rsid w:val="00EE7CEE"/>
    <w:rsid w:val="00F26821"/>
    <w:rsid w:val="00F43620"/>
    <w:rsid w:val="00F82511"/>
    <w:rsid w:val="00F9225C"/>
    <w:rsid w:val="00FB75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AA6B"/>
  <w15:chartTrackingRefBased/>
  <w15:docId w15:val="{F59081DF-268E-4E4C-86CF-1CF5678C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3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3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3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3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3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3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3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3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3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3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3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3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3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3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3AC"/>
    <w:rPr>
      <w:rFonts w:eastAsiaTheme="majorEastAsia" w:cstheme="majorBidi"/>
      <w:color w:val="272727" w:themeColor="text1" w:themeTint="D8"/>
    </w:rPr>
  </w:style>
  <w:style w:type="paragraph" w:styleId="Title">
    <w:name w:val="Title"/>
    <w:basedOn w:val="Normal"/>
    <w:next w:val="Normal"/>
    <w:link w:val="TitleChar"/>
    <w:uiPriority w:val="10"/>
    <w:qFormat/>
    <w:rsid w:val="002463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3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3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63AC"/>
    <w:rPr>
      <w:i/>
      <w:iCs/>
      <w:color w:val="404040" w:themeColor="text1" w:themeTint="BF"/>
    </w:rPr>
  </w:style>
  <w:style w:type="paragraph" w:styleId="ListParagraph">
    <w:name w:val="List Paragraph"/>
    <w:basedOn w:val="Normal"/>
    <w:uiPriority w:val="34"/>
    <w:qFormat/>
    <w:rsid w:val="002463AC"/>
    <w:pPr>
      <w:ind w:left="720"/>
      <w:contextualSpacing/>
    </w:pPr>
  </w:style>
  <w:style w:type="character" w:styleId="IntenseEmphasis">
    <w:name w:val="Intense Emphasis"/>
    <w:basedOn w:val="DefaultParagraphFont"/>
    <w:uiPriority w:val="21"/>
    <w:qFormat/>
    <w:rsid w:val="002463AC"/>
    <w:rPr>
      <w:i/>
      <w:iCs/>
      <w:color w:val="2F5496" w:themeColor="accent1" w:themeShade="BF"/>
    </w:rPr>
  </w:style>
  <w:style w:type="paragraph" w:styleId="IntenseQuote">
    <w:name w:val="Intense Quote"/>
    <w:basedOn w:val="Normal"/>
    <w:next w:val="Normal"/>
    <w:link w:val="IntenseQuoteChar"/>
    <w:uiPriority w:val="30"/>
    <w:qFormat/>
    <w:rsid w:val="002463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3AC"/>
    <w:rPr>
      <w:i/>
      <w:iCs/>
      <w:color w:val="2F5496" w:themeColor="accent1" w:themeShade="BF"/>
    </w:rPr>
  </w:style>
  <w:style w:type="character" w:styleId="IntenseReference">
    <w:name w:val="Intense Reference"/>
    <w:basedOn w:val="DefaultParagraphFont"/>
    <w:uiPriority w:val="32"/>
    <w:qFormat/>
    <w:rsid w:val="002463AC"/>
    <w:rPr>
      <w:b/>
      <w:bCs/>
      <w:smallCaps/>
      <w:color w:val="2F5496" w:themeColor="accent1" w:themeShade="BF"/>
      <w:spacing w:val="5"/>
    </w:rPr>
  </w:style>
  <w:style w:type="paragraph" w:styleId="NoSpacing">
    <w:name w:val="No Spacing"/>
    <w:link w:val="NoSpacingChar"/>
    <w:uiPriority w:val="1"/>
    <w:qFormat/>
    <w:rsid w:val="00CA7064"/>
    <w:rPr>
      <w:kern w:val="0"/>
      <w:sz w:val="22"/>
      <w:szCs w:val="22"/>
      <w14:ligatures w14:val="none"/>
    </w:rPr>
  </w:style>
  <w:style w:type="character" w:customStyle="1" w:styleId="NoSpacingChar">
    <w:name w:val="No Spacing Char"/>
    <w:basedOn w:val="DefaultParagraphFont"/>
    <w:link w:val="NoSpacing"/>
    <w:uiPriority w:val="1"/>
    <w:rsid w:val="00CA7064"/>
    <w:rPr>
      <w:kern w:val="0"/>
      <w:sz w:val="22"/>
      <w:szCs w:val="22"/>
      <w14:ligatures w14:val="none"/>
    </w:rPr>
  </w:style>
  <w:style w:type="paragraph" w:styleId="NormalWeb">
    <w:name w:val="Normal (Web)"/>
    <w:basedOn w:val="Normal"/>
    <w:uiPriority w:val="99"/>
    <w:semiHidden/>
    <w:unhideWhenUsed/>
    <w:rsid w:val="006A5AC7"/>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6A5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552">
      <w:bodyDiv w:val="1"/>
      <w:marLeft w:val="0"/>
      <w:marRight w:val="0"/>
      <w:marTop w:val="0"/>
      <w:marBottom w:val="0"/>
      <w:divBdr>
        <w:top w:val="none" w:sz="0" w:space="0" w:color="auto"/>
        <w:left w:val="none" w:sz="0" w:space="0" w:color="auto"/>
        <w:bottom w:val="none" w:sz="0" w:space="0" w:color="auto"/>
        <w:right w:val="none" w:sz="0" w:space="0" w:color="auto"/>
      </w:divBdr>
    </w:div>
    <w:div w:id="271405821">
      <w:bodyDiv w:val="1"/>
      <w:marLeft w:val="0"/>
      <w:marRight w:val="0"/>
      <w:marTop w:val="0"/>
      <w:marBottom w:val="0"/>
      <w:divBdr>
        <w:top w:val="none" w:sz="0" w:space="0" w:color="auto"/>
        <w:left w:val="none" w:sz="0" w:space="0" w:color="auto"/>
        <w:bottom w:val="none" w:sz="0" w:space="0" w:color="auto"/>
        <w:right w:val="none" w:sz="0" w:space="0" w:color="auto"/>
      </w:divBdr>
    </w:div>
    <w:div w:id="367989775">
      <w:bodyDiv w:val="1"/>
      <w:marLeft w:val="0"/>
      <w:marRight w:val="0"/>
      <w:marTop w:val="0"/>
      <w:marBottom w:val="0"/>
      <w:divBdr>
        <w:top w:val="none" w:sz="0" w:space="0" w:color="auto"/>
        <w:left w:val="none" w:sz="0" w:space="0" w:color="auto"/>
        <w:bottom w:val="none" w:sz="0" w:space="0" w:color="auto"/>
        <w:right w:val="none" w:sz="0" w:space="0" w:color="auto"/>
      </w:divBdr>
    </w:div>
    <w:div w:id="497580941">
      <w:bodyDiv w:val="1"/>
      <w:marLeft w:val="0"/>
      <w:marRight w:val="0"/>
      <w:marTop w:val="0"/>
      <w:marBottom w:val="0"/>
      <w:divBdr>
        <w:top w:val="none" w:sz="0" w:space="0" w:color="auto"/>
        <w:left w:val="none" w:sz="0" w:space="0" w:color="auto"/>
        <w:bottom w:val="none" w:sz="0" w:space="0" w:color="auto"/>
        <w:right w:val="none" w:sz="0" w:space="0" w:color="auto"/>
      </w:divBdr>
    </w:div>
    <w:div w:id="618730009">
      <w:bodyDiv w:val="1"/>
      <w:marLeft w:val="0"/>
      <w:marRight w:val="0"/>
      <w:marTop w:val="0"/>
      <w:marBottom w:val="0"/>
      <w:divBdr>
        <w:top w:val="none" w:sz="0" w:space="0" w:color="auto"/>
        <w:left w:val="none" w:sz="0" w:space="0" w:color="auto"/>
        <w:bottom w:val="none" w:sz="0" w:space="0" w:color="auto"/>
        <w:right w:val="none" w:sz="0" w:space="0" w:color="auto"/>
      </w:divBdr>
    </w:div>
    <w:div w:id="675303022">
      <w:bodyDiv w:val="1"/>
      <w:marLeft w:val="0"/>
      <w:marRight w:val="0"/>
      <w:marTop w:val="0"/>
      <w:marBottom w:val="0"/>
      <w:divBdr>
        <w:top w:val="none" w:sz="0" w:space="0" w:color="auto"/>
        <w:left w:val="none" w:sz="0" w:space="0" w:color="auto"/>
        <w:bottom w:val="none" w:sz="0" w:space="0" w:color="auto"/>
        <w:right w:val="none" w:sz="0" w:space="0" w:color="auto"/>
      </w:divBdr>
    </w:div>
    <w:div w:id="736243890">
      <w:bodyDiv w:val="1"/>
      <w:marLeft w:val="0"/>
      <w:marRight w:val="0"/>
      <w:marTop w:val="0"/>
      <w:marBottom w:val="0"/>
      <w:divBdr>
        <w:top w:val="none" w:sz="0" w:space="0" w:color="auto"/>
        <w:left w:val="none" w:sz="0" w:space="0" w:color="auto"/>
        <w:bottom w:val="none" w:sz="0" w:space="0" w:color="auto"/>
        <w:right w:val="none" w:sz="0" w:space="0" w:color="auto"/>
      </w:divBdr>
    </w:div>
    <w:div w:id="930090329">
      <w:bodyDiv w:val="1"/>
      <w:marLeft w:val="0"/>
      <w:marRight w:val="0"/>
      <w:marTop w:val="0"/>
      <w:marBottom w:val="0"/>
      <w:divBdr>
        <w:top w:val="none" w:sz="0" w:space="0" w:color="auto"/>
        <w:left w:val="none" w:sz="0" w:space="0" w:color="auto"/>
        <w:bottom w:val="none" w:sz="0" w:space="0" w:color="auto"/>
        <w:right w:val="none" w:sz="0" w:space="0" w:color="auto"/>
      </w:divBdr>
    </w:div>
    <w:div w:id="942107620">
      <w:bodyDiv w:val="1"/>
      <w:marLeft w:val="0"/>
      <w:marRight w:val="0"/>
      <w:marTop w:val="0"/>
      <w:marBottom w:val="0"/>
      <w:divBdr>
        <w:top w:val="none" w:sz="0" w:space="0" w:color="auto"/>
        <w:left w:val="none" w:sz="0" w:space="0" w:color="auto"/>
        <w:bottom w:val="none" w:sz="0" w:space="0" w:color="auto"/>
        <w:right w:val="none" w:sz="0" w:space="0" w:color="auto"/>
      </w:divBdr>
    </w:div>
    <w:div w:id="943264121">
      <w:bodyDiv w:val="1"/>
      <w:marLeft w:val="0"/>
      <w:marRight w:val="0"/>
      <w:marTop w:val="0"/>
      <w:marBottom w:val="0"/>
      <w:divBdr>
        <w:top w:val="none" w:sz="0" w:space="0" w:color="auto"/>
        <w:left w:val="none" w:sz="0" w:space="0" w:color="auto"/>
        <w:bottom w:val="none" w:sz="0" w:space="0" w:color="auto"/>
        <w:right w:val="none" w:sz="0" w:space="0" w:color="auto"/>
      </w:divBdr>
    </w:div>
    <w:div w:id="1016536967">
      <w:bodyDiv w:val="1"/>
      <w:marLeft w:val="0"/>
      <w:marRight w:val="0"/>
      <w:marTop w:val="0"/>
      <w:marBottom w:val="0"/>
      <w:divBdr>
        <w:top w:val="none" w:sz="0" w:space="0" w:color="auto"/>
        <w:left w:val="none" w:sz="0" w:space="0" w:color="auto"/>
        <w:bottom w:val="none" w:sz="0" w:space="0" w:color="auto"/>
        <w:right w:val="none" w:sz="0" w:space="0" w:color="auto"/>
      </w:divBdr>
    </w:div>
    <w:div w:id="1070614765">
      <w:bodyDiv w:val="1"/>
      <w:marLeft w:val="0"/>
      <w:marRight w:val="0"/>
      <w:marTop w:val="0"/>
      <w:marBottom w:val="0"/>
      <w:divBdr>
        <w:top w:val="none" w:sz="0" w:space="0" w:color="auto"/>
        <w:left w:val="none" w:sz="0" w:space="0" w:color="auto"/>
        <w:bottom w:val="none" w:sz="0" w:space="0" w:color="auto"/>
        <w:right w:val="none" w:sz="0" w:space="0" w:color="auto"/>
      </w:divBdr>
    </w:div>
    <w:div w:id="1147432937">
      <w:bodyDiv w:val="1"/>
      <w:marLeft w:val="0"/>
      <w:marRight w:val="0"/>
      <w:marTop w:val="0"/>
      <w:marBottom w:val="0"/>
      <w:divBdr>
        <w:top w:val="none" w:sz="0" w:space="0" w:color="auto"/>
        <w:left w:val="none" w:sz="0" w:space="0" w:color="auto"/>
        <w:bottom w:val="none" w:sz="0" w:space="0" w:color="auto"/>
        <w:right w:val="none" w:sz="0" w:space="0" w:color="auto"/>
      </w:divBdr>
    </w:div>
    <w:div w:id="1223638109">
      <w:bodyDiv w:val="1"/>
      <w:marLeft w:val="0"/>
      <w:marRight w:val="0"/>
      <w:marTop w:val="0"/>
      <w:marBottom w:val="0"/>
      <w:divBdr>
        <w:top w:val="none" w:sz="0" w:space="0" w:color="auto"/>
        <w:left w:val="none" w:sz="0" w:space="0" w:color="auto"/>
        <w:bottom w:val="none" w:sz="0" w:space="0" w:color="auto"/>
        <w:right w:val="none" w:sz="0" w:space="0" w:color="auto"/>
      </w:divBdr>
    </w:div>
    <w:div w:id="1242830510">
      <w:bodyDiv w:val="1"/>
      <w:marLeft w:val="0"/>
      <w:marRight w:val="0"/>
      <w:marTop w:val="0"/>
      <w:marBottom w:val="0"/>
      <w:divBdr>
        <w:top w:val="none" w:sz="0" w:space="0" w:color="auto"/>
        <w:left w:val="none" w:sz="0" w:space="0" w:color="auto"/>
        <w:bottom w:val="none" w:sz="0" w:space="0" w:color="auto"/>
        <w:right w:val="none" w:sz="0" w:space="0" w:color="auto"/>
      </w:divBdr>
    </w:div>
    <w:div w:id="1265532806">
      <w:bodyDiv w:val="1"/>
      <w:marLeft w:val="0"/>
      <w:marRight w:val="0"/>
      <w:marTop w:val="0"/>
      <w:marBottom w:val="0"/>
      <w:divBdr>
        <w:top w:val="none" w:sz="0" w:space="0" w:color="auto"/>
        <w:left w:val="none" w:sz="0" w:space="0" w:color="auto"/>
        <w:bottom w:val="none" w:sz="0" w:space="0" w:color="auto"/>
        <w:right w:val="none" w:sz="0" w:space="0" w:color="auto"/>
      </w:divBdr>
    </w:div>
    <w:div w:id="1272198996">
      <w:bodyDiv w:val="1"/>
      <w:marLeft w:val="0"/>
      <w:marRight w:val="0"/>
      <w:marTop w:val="0"/>
      <w:marBottom w:val="0"/>
      <w:divBdr>
        <w:top w:val="none" w:sz="0" w:space="0" w:color="auto"/>
        <w:left w:val="none" w:sz="0" w:space="0" w:color="auto"/>
        <w:bottom w:val="none" w:sz="0" w:space="0" w:color="auto"/>
        <w:right w:val="none" w:sz="0" w:space="0" w:color="auto"/>
      </w:divBdr>
    </w:div>
    <w:div w:id="1278368684">
      <w:bodyDiv w:val="1"/>
      <w:marLeft w:val="0"/>
      <w:marRight w:val="0"/>
      <w:marTop w:val="0"/>
      <w:marBottom w:val="0"/>
      <w:divBdr>
        <w:top w:val="none" w:sz="0" w:space="0" w:color="auto"/>
        <w:left w:val="none" w:sz="0" w:space="0" w:color="auto"/>
        <w:bottom w:val="none" w:sz="0" w:space="0" w:color="auto"/>
        <w:right w:val="none" w:sz="0" w:space="0" w:color="auto"/>
      </w:divBdr>
    </w:div>
    <w:div w:id="1487937223">
      <w:bodyDiv w:val="1"/>
      <w:marLeft w:val="0"/>
      <w:marRight w:val="0"/>
      <w:marTop w:val="0"/>
      <w:marBottom w:val="0"/>
      <w:divBdr>
        <w:top w:val="none" w:sz="0" w:space="0" w:color="auto"/>
        <w:left w:val="none" w:sz="0" w:space="0" w:color="auto"/>
        <w:bottom w:val="none" w:sz="0" w:space="0" w:color="auto"/>
        <w:right w:val="none" w:sz="0" w:space="0" w:color="auto"/>
      </w:divBdr>
    </w:div>
    <w:div w:id="1675378175">
      <w:bodyDiv w:val="1"/>
      <w:marLeft w:val="0"/>
      <w:marRight w:val="0"/>
      <w:marTop w:val="0"/>
      <w:marBottom w:val="0"/>
      <w:divBdr>
        <w:top w:val="none" w:sz="0" w:space="0" w:color="auto"/>
        <w:left w:val="none" w:sz="0" w:space="0" w:color="auto"/>
        <w:bottom w:val="none" w:sz="0" w:space="0" w:color="auto"/>
        <w:right w:val="none" w:sz="0" w:space="0" w:color="auto"/>
      </w:divBdr>
    </w:div>
    <w:div w:id="1683119950">
      <w:bodyDiv w:val="1"/>
      <w:marLeft w:val="0"/>
      <w:marRight w:val="0"/>
      <w:marTop w:val="0"/>
      <w:marBottom w:val="0"/>
      <w:divBdr>
        <w:top w:val="none" w:sz="0" w:space="0" w:color="auto"/>
        <w:left w:val="none" w:sz="0" w:space="0" w:color="auto"/>
        <w:bottom w:val="none" w:sz="0" w:space="0" w:color="auto"/>
        <w:right w:val="none" w:sz="0" w:space="0" w:color="auto"/>
      </w:divBdr>
    </w:div>
    <w:div w:id="1797288421">
      <w:bodyDiv w:val="1"/>
      <w:marLeft w:val="0"/>
      <w:marRight w:val="0"/>
      <w:marTop w:val="0"/>
      <w:marBottom w:val="0"/>
      <w:divBdr>
        <w:top w:val="none" w:sz="0" w:space="0" w:color="auto"/>
        <w:left w:val="none" w:sz="0" w:space="0" w:color="auto"/>
        <w:bottom w:val="none" w:sz="0" w:space="0" w:color="auto"/>
        <w:right w:val="none" w:sz="0" w:space="0" w:color="auto"/>
      </w:divBdr>
    </w:div>
    <w:div w:id="1819957705">
      <w:bodyDiv w:val="1"/>
      <w:marLeft w:val="0"/>
      <w:marRight w:val="0"/>
      <w:marTop w:val="0"/>
      <w:marBottom w:val="0"/>
      <w:divBdr>
        <w:top w:val="none" w:sz="0" w:space="0" w:color="auto"/>
        <w:left w:val="none" w:sz="0" w:space="0" w:color="auto"/>
        <w:bottom w:val="none" w:sz="0" w:space="0" w:color="auto"/>
        <w:right w:val="none" w:sz="0" w:space="0" w:color="auto"/>
      </w:divBdr>
    </w:div>
    <w:div w:id="1834836947">
      <w:bodyDiv w:val="1"/>
      <w:marLeft w:val="0"/>
      <w:marRight w:val="0"/>
      <w:marTop w:val="0"/>
      <w:marBottom w:val="0"/>
      <w:divBdr>
        <w:top w:val="none" w:sz="0" w:space="0" w:color="auto"/>
        <w:left w:val="none" w:sz="0" w:space="0" w:color="auto"/>
        <w:bottom w:val="none" w:sz="0" w:space="0" w:color="auto"/>
        <w:right w:val="none" w:sz="0" w:space="0" w:color="auto"/>
      </w:divBdr>
    </w:div>
    <w:div w:id="1860655160">
      <w:bodyDiv w:val="1"/>
      <w:marLeft w:val="0"/>
      <w:marRight w:val="0"/>
      <w:marTop w:val="0"/>
      <w:marBottom w:val="0"/>
      <w:divBdr>
        <w:top w:val="none" w:sz="0" w:space="0" w:color="auto"/>
        <w:left w:val="none" w:sz="0" w:space="0" w:color="auto"/>
        <w:bottom w:val="none" w:sz="0" w:space="0" w:color="auto"/>
        <w:right w:val="none" w:sz="0" w:space="0" w:color="auto"/>
      </w:divBdr>
    </w:div>
    <w:div w:id="1912739689">
      <w:bodyDiv w:val="1"/>
      <w:marLeft w:val="0"/>
      <w:marRight w:val="0"/>
      <w:marTop w:val="0"/>
      <w:marBottom w:val="0"/>
      <w:divBdr>
        <w:top w:val="none" w:sz="0" w:space="0" w:color="auto"/>
        <w:left w:val="none" w:sz="0" w:space="0" w:color="auto"/>
        <w:bottom w:val="none" w:sz="0" w:space="0" w:color="auto"/>
        <w:right w:val="none" w:sz="0" w:space="0" w:color="auto"/>
      </w:divBdr>
    </w:div>
    <w:div w:id="212854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loganmacphail2026@u.northwestern.edu</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Ste06</b:Tag>
    <b:SourceType>Book</b:SourceType>
    <b:Guid>{22BB8156-2366-D646-9479-A66DCED845AA}</b:Guid>
    <b:Title>Investment Strategies of Hedge Funds</b:Title>
    <b:Year>2006</b:Year>
    <b:City>West Sussex, England</b:City>
    <b:Publisher>John Wiley &amp; Sons, Ltd</b:Publisher>
    <b:Author>
      <b:Author>
        <b:Corporate>Stefanini, Filippo</b:Corporate>
      </b:Author>
    </b:Author>
    <b:RefOrder>3</b:RefOrder>
  </b:Source>
  <b:Source>
    <b:Tag>Dam12</b:Tag>
    <b:SourceType>Book</b:SourceType>
    <b:Guid>{48E3723E-D640-7842-BE81-00DFA9E9A691}</b:Guid>
    <b:Title>Investment Philosophies: Successful Strategies and the Investors Who Made Them Work</b:Title>
    <b:City>Hoboken, New Jersey</b:City>
    <b:Publisher>John Wiley &amp; Sons, Inc.</b:Publisher>
    <b:Year>2012</b:Year>
    <b:Author>
      <b:Author>
        <b:Corporate>Damodaran, Aswath</b:Corporate>
      </b:Author>
    </b:Author>
    <b:RefOrder>1</b:RefOrder>
  </b:Source>
  <b:Source>
    <b:Tag>Hil20</b:Tag>
    <b:SourceType>Book</b:SourceType>
    <b:Guid>{3E135A60-543A-B749-AFCE-610E6CDE422B}</b:Guid>
    <b:Title>Artificial Intelligence in Finance</b:Title>
    <b:City>Sebastopol, California</b:City>
    <b:Publisher>O'Reilly Media, Inc.</b:Publisher>
    <b:Year>2020</b:Year>
    <b:Author>
      <b:Author>
        <b:Corporate>Hilpisch, Yves</b:Corporate>
      </b:Author>
    </b:Author>
    <b:RefOrder>2</b:RefOrder>
  </b:Source>
  <b:Source>
    <b:Tag>How19</b:Tag>
    <b:SourceType>Book</b:SourceType>
    <b:Guid>{D9A83D06-634C-6A4D-A2AF-D3E1B1AA186B}</b:Guid>
    <b:Title>Natural Language Processing in Action</b:Title>
    <b:City>Shelter Island, New York</b:City>
    <b:Publisher>Manning Publications</b:Publisher>
    <b:Year>2019</b:Year>
    <b:Author>
      <b:Author>
        <b:Corporate>Howard, Cole; Lane, Hobson; Hapke, Hannes;</b:Corporate>
      </b:Author>
    </b:Author>
    <b:RefOrder>4</b:RefOrder>
  </b:Source>
  <b:Source>
    <b:Tag>Hil24</b:Tag>
    <b:SourceType>Book</b:SourceType>
    <b:Guid>{A5EF44A8-9C1F-5345-A716-AD5E1936797F}</b:Guid>
    <b:Title>Reinforcement Learning for Finance</b:Title>
    <b:City>Sebastopol, California</b:City>
    <b:Publisher>O'Reilly Media, Inc.</b:Publisher>
    <b:Year>2024</b:Year>
    <b:Author>
      <b:Author>
        <b:Corporate>Hilpisch, Yves</b:Corporate>
      </b:Author>
    </b:Author>
    <b:RefOrder>5</b:RefOrder>
  </b:Source>
  <b:Source>
    <b:Tag>Lop18</b:Tag>
    <b:SourceType>Book</b:SourceType>
    <b:Guid>{1FE80ADA-CEA0-4747-809B-3E3A3FBB92D5}</b:Guid>
    <b:Title>Advances in Financial Machine Learning</b:Title>
    <b:Publisher>John Wiley &amp; Sons, Inc.</b:Publisher>
    <b:Year>2018</b:Year>
    <b:Author>
      <b:Author>
        <b:Corporate>Lopez de Prado, Marcos</b:Corporate>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6FDB9-5662-F348-8017-B75339E57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MacPhail Quantitative Investment Firm</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MacPhail Quantitative Investment Firm</dc:title>
  <dc:subject>Performance Evaluation</dc:subject>
  <dc:creator>Logan MacPhail</dc:creator>
  <cp:keywords/>
  <dc:description/>
  <cp:lastModifiedBy>Logan MacPhail</cp:lastModifiedBy>
  <cp:revision>5</cp:revision>
  <dcterms:created xsi:type="dcterms:W3CDTF">2025-08-15T14:54:00Z</dcterms:created>
  <dcterms:modified xsi:type="dcterms:W3CDTF">2025-08-17T14:52:00Z</dcterms:modified>
</cp:coreProperties>
</file>