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3.Project</w:t>
      </w:r>
      <w:r>
        <w:rPr>
          <w:spacing w:val="-12"/>
        </w:rPr>
        <w:t> </w:t>
      </w:r>
      <w:r>
        <w:rPr/>
        <w:t>Design</w:t>
      </w:r>
      <w:r>
        <w:rPr>
          <w:spacing w:val="-11"/>
        </w:rPr>
        <w:t> </w:t>
      </w:r>
      <w:r>
        <w:rPr>
          <w:spacing w:val="-2"/>
        </w:rPr>
        <w:t>Phase</w:t>
      </w:r>
    </w:p>
    <w:p>
      <w:pPr>
        <w:pStyle w:val="ListParagraph"/>
        <w:numPr>
          <w:ilvl w:val="0"/>
          <w:numId w:val="1"/>
        </w:numPr>
        <w:tabs>
          <w:tab w:pos="657" w:val="left" w:leader="none"/>
        </w:tabs>
        <w:spacing w:line="189" w:lineRule="auto" w:before="527" w:after="0"/>
        <w:ind w:left="656" w:right="117" w:hanging="540"/>
        <w:jc w:val="both"/>
        <w:rPr>
          <w:sz w:val="44"/>
        </w:rPr>
      </w:pPr>
      <w:r>
        <w:rPr>
          <w:sz w:val="44"/>
        </w:rPr>
        <w:t>The design phase of an IT procurement project translates validated requirements into a solution blueprint that vendors can bid against and stakeholders can approve. Streamlining it starts with standardizing the inputs.</w:t>
      </w:r>
    </w:p>
    <w:p>
      <w:pPr>
        <w:pStyle w:val="ListParagraph"/>
        <w:numPr>
          <w:ilvl w:val="0"/>
          <w:numId w:val="1"/>
        </w:numPr>
        <w:tabs>
          <w:tab w:pos="755" w:val="left" w:leader="none"/>
        </w:tabs>
        <w:spacing w:line="189" w:lineRule="auto" w:before="193" w:after="0"/>
        <w:ind w:left="656" w:right="116" w:hanging="540"/>
        <w:jc w:val="both"/>
        <w:rPr>
          <w:sz w:val="44"/>
        </w:rPr>
      </w:pPr>
      <w:r>
        <w:rPr/>
        <w:tab/>
      </w:r>
      <w:r>
        <w:rPr>
          <w:sz w:val="44"/>
        </w:rPr>
        <w:t>A reusable design template covering architecture, integration points, security and compliance controls, and total cost of ownership keeps teams from reinventing the structure for every </w:t>
      </w:r>
      <w:r>
        <w:rPr>
          <w:spacing w:val="-2"/>
          <w:sz w:val="44"/>
        </w:rPr>
        <w:t>project.</w:t>
      </w:r>
    </w:p>
    <w:p>
      <w:pPr>
        <w:pStyle w:val="ListParagraph"/>
        <w:numPr>
          <w:ilvl w:val="0"/>
          <w:numId w:val="1"/>
        </w:numPr>
        <w:tabs>
          <w:tab w:pos="755" w:val="left" w:leader="none"/>
        </w:tabs>
        <w:spacing w:line="189" w:lineRule="auto" w:before="197" w:after="0"/>
        <w:ind w:left="656" w:right="115" w:hanging="540"/>
        <w:jc w:val="both"/>
        <w:rPr>
          <w:sz w:val="44"/>
        </w:rPr>
      </w:pPr>
      <w:r>
        <w:rPr/>
        <w:tab/>
      </w:r>
      <w:r>
        <w:rPr>
          <w:sz w:val="44"/>
        </w:rPr>
        <w:t>Working from a pre-approved reference architectures and preferred technology standards shortens decision cycles, while involving IT, security, finance, and end-user representatives in short,</w:t>
      </w:r>
      <w:r>
        <w:rPr>
          <w:spacing w:val="-1"/>
          <w:sz w:val="44"/>
        </w:rPr>
        <w:t> </w:t>
      </w:r>
      <w:r>
        <w:rPr>
          <w:sz w:val="44"/>
        </w:rPr>
        <w:t>structured</w:t>
      </w:r>
      <w:r>
        <w:rPr>
          <w:spacing w:val="-2"/>
          <w:sz w:val="44"/>
        </w:rPr>
        <w:t> </w:t>
      </w:r>
      <w:r>
        <w:rPr>
          <w:sz w:val="44"/>
        </w:rPr>
        <w:t>design workshops rather than</w:t>
      </w:r>
      <w:r>
        <w:rPr>
          <w:spacing w:val="-2"/>
          <w:sz w:val="44"/>
        </w:rPr>
        <w:t> </w:t>
      </w:r>
      <w:r>
        <w:rPr>
          <w:sz w:val="44"/>
        </w:rPr>
        <w:t>sequential hand-offs prevents late-stage rework.</w:t>
      </w:r>
    </w:p>
    <w:p>
      <w:pPr>
        <w:pStyle w:val="ListParagraph"/>
        <w:numPr>
          <w:ilvl w:val="0"/>
          <w:numId w:val="1"/>
        </w:numPr>
        <w:tabs>
          <w:tab w:pos="657" w:val="left" w:leader="none"/>
        </w:tabs>
        <w:spacing w:line="189" w:lineRule="auto" w:before="193" w:after="0"/>
        <w:ind w:left="656" w:right="116" w:hanging="540"/>
        <w:jc w:val="both"/>
        <w:rPr>
          <w:sz w:val="44"/>
        </w:rPr>
      </w:pPr>
      <w:r>
        <w:rPr>
          <w:sz w:val="44"/>
        </w:rPr>
        <w:t>Defining clear evaluation criteria and acceptance thresholds during design, not after, ties the blueprint directly to vendor scoring and contract terms. Finally, lightweight approval gates with defined owners and turnaround times, supported by a shared collaboration space for version </w:t>
      </w:r>
      <w:r>
        <w:rPr>
          <w:spacing w:val="-2"/>
          <w:sz w:val="44"/>
        </w:rPr>
        <w:t>control.</w:t>
      </w:r>
    </w:p>
    <w:p>
      <w:pPr>
        <w:pStyle w:val="ListParagraph"/>
        <w:numPr>
          <w:ilvl w:val="0"/>
          <w:numId w:val="1"/>
        </w:numPr>
        <w:tabs>
          <w:tab w:pos="755" w:val="left" w:leader="none"/>
        </w:tabs>
        <w:spacing w:line="189" w:lineRule="auto" w:before="192" w:after="0"/>
        <w:ind w:left="656" w:right="114" w:hanging="540"/>
        <w:jc w:val="both"/>
        <w:rPr>
          <w:sz w:val="44"/>
        </w:rPr>
      </w:pPr>
      <w:r>
        <w:rPr/>
        <w:tab/>
      </w:r>
      <w:r>
        <w:rPr>
          <w:sz w:val="44"/>
        </w:rPr>
        <w:t>keep the</w:t>
      </w:r>
      <w:r>
        <w:rPr>
          <w:spacing w:val="-1"/>
          <w:sz w:val="44"/>
        </w:rPr>
        <w:t> </w:t>
      </w:r>
      <w:r>
        <w:rPr>
          <w:sz w:val="44"/>
        </w:rPr>
        <w:t>phase moving without</w:t>
      </w:r>
      <w:r>
        <w:rPr>
          <w:spacing w:val="-3"/>
          <w:sz w:val="44"/>
        </w:rPr>
        <w:t> </w:t>
      </w:r>
      <w:r>
        <w:rPr>
          <w:sz w:val="44"/>
        </w:rPr>
        <w:t>sacrificing</w:t>
      </w:r>
      <w:r>
        <w:rPr>
          <w:spacing w:val="-2"/>
          <w:sz w:val="44"/>
        </w:rPr>
        <w:t> </w:t>
      </w:r>
      <w:r>
        <w:rPr>
          <w:sz w:val="44"/>
        </w:rPr>
        <w:t>governance,</w:t>
      </w:r>
      <w:r>
        <w:rPr>
          <w:spacing w:val="-4"/>
          <w:sz w:val="44"/>
        </w:rPr>
        <w:t> </w:t>
      </w:r>
      <w:r>
        <w:rPr>
          <w:sz w:val="44"/>
        </w:rPr>
        <w:t>so that</w:t>
      </w:r>
      <w:r>
        <w:rPr>
          <w:spacing w:val="-1"/>
          <w:sz w:val="44"/>
        </w:rPr>
        <w:t> </w:t>
      </w:r>
      <w:r>
        <w:rPr>
          <w:sz w:val="44"/>
        </w:rPr>
        <w:t>the project enters</w:t>
      </w:r>
      <w:r>
        <w:rPr>
          <w:spacing w:val="-1"/>
          <w:sz w:val="44"/>
        </w:rPr>
        <w:t> </w:t>
      </w:r>
      <w:r>
        <w:rPr>
          <w:sz w:val="44"/>
        </w:rPr>
        <w:t>sourcing with</w:t>
      </w:r>
      <w:r>
        <w:rPr>
          <w:spacing w:val="-2"/>
          <w:sz w:val="44"/>
        </w:rPr>
        <w:t> </w:t>
      </w:r>
      <w:r>
        <w:rPr>
          <w:sz w:val="44"/>
        </w:rPr>
        <w:t>a solution that is technically sound, budget-aligned, and ready to go to market.</w:t>
      </w:r>
    </w:p>
    <w:sectPr>
      <w:type w:val="continuous"/>
      <w:pgSz w:w="19200" w:h="10800" w:orient="landscape"/>
      <w:pgMar w:top="760" w:bottom="280" w:left="50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56" w:hanging="540"/>
      </w:pPr>
      <w:rPr>
        <w:rFonts w:hint="default" w:ascii="Wingdings" w:hAnsi="Wingdings" w:eastAsia="Wingdings" w:cs="Wingdings"/>
        <w:b w:val="0"/>
        <w:bCs w:val="0"/>
        <w:i w:val="0"/>
        <w:iCs w:val="0"/>
        <w:w w:val="99"/>
        <w:sz w:val="44"/>
        <w:szCs w:val="44"/>
        <w:lang w:val="en-US" w:eastAsia="en-US" w:bidi="ar-SA"/>
      </w:rPr>
    </w:lvl>
    <w:lvl w:ilvl="1">
      <w:start w:val="0"/>
      <w:numFmt w:val="bullet"/>
      <w:lvlText w:val="•"/>
      <w:lvlJc w:val="left"/>
      <w:pPr>
        <w:ind w:left="2416" w:hanging="540"/>
      </w:pPr>
      <w:rPr>
        <w:rFonts w:hint="default"/>
        <w:lang w:val="en-US" w:eastAsia="en-US" w:bidi="ar-SA"/>
      </w:rPr>
    </w:lvl>
    <w:lvl w:ilvl="2">
      <w:start w:val="0"/>
      <w:numFmt w:val="bullet"/>
      <w:lvlText w:val="•"/>
      <w:lvlJc w:val="left"/>
      <w:pPr>
        <w:ind w:left="4172" w:hanging="540"/>
      </w:pPr>
      <w:rPr>
        <w:rFonts w:hint="default"/>
        <w:lang w:val="en-US" w:eastAsia="en-US" w:bidi="ar-SA"/>
      </w:rPr>
    </w:lvl>
    <w:lvl w:ilvl="3">
      <w:start w:val="0"/>
      <w:numFmt w:val="bullet"/>
      <w:lvlText w:val="•"/>
      <w:lvlJc w:val="left"/>
      <w:pPr>
        <w:ind w:left="5928" w:hanging="540"/>
      </w:pPr>
      <w:rPr>
        <w:rFonts w:hint="default"/>
        <w:lang w:val="en-US" w:eastAsia="en-US" w:bidi="ar-SA"/>
      </w:rPr>
    </w:lvl>
    <w:lvl w:ilvl="4">
      <w:start w:val="0"/>
      <w:numFmt w:val="bullet"/>
      <w:lvlText w:val="•"/>
      <w:lvlJc w:val="left"/>
      <w:pPr>
        <w:ind w:left="7684" w:hanging="540"/>
      </w:pPr>
      <w:rPr>
        <w:rFonts w:hint="default"/>
        <w:lang w:val="en-US" w:eastAsia="en-US" w:bidi="ar-SA"/>
      </w:rPr>
    </w:lvl>
    <w:lvl w:ilvl="5">
      <w:start w:val="0"/>
      <w:numFmt w:val="bullet"/>
      <w:lvlText w:val="•"/>
      <w:lvlJc w:val="left"/>
      <w:pPr>
        <w:ind w:left="9440" w:hanging="540"/>
      </w:pPr>
      <w:rPr>
        <w:rFonts w:hint="default"/>
        <w:lang w:val="en-US" w:eastAsia="en-US" w:bidi="ar-SA"/>
      </w:rPr>
    </w:lvl>
    <w:lvl w:ilvl="6">
      <w:start w:val="0"/>
      <w:numFmt w:val="bullet"/>
      <w:lvlText w:val="•"/>
      <w:lvlJc w:val="left"/>
      <w:pPr>
        <w:ind w:left="11196" w:hanging="540"/>
      </w:pPr>
      <w:rPr>
        <w:rFonts w:hint="default"/>
        <w:lang w:val="en-US" w:eastAsia="en-US" w:bidi="ar-SA"/>
      </w:rPr>
    </w:lvl>
    <w:lvl w:ilvl="7">
      <w:start w:val="0"/>
      <w:numFmt w:val="bullet"/>
      <w:lvlText w:val="•"/>
      <w:lvlJc w:val="left"/>
      <w:pPr>
        <w:ind w:left="12952" w:hanging="540"/>
      </w:pPr>
      <w:rPr>
        <w:rFonts w:hint="default"/>
        <w:lang w:val="en-US" w:eastAsia="en-US" w:bidi="ar-SA"/>
      </w:rPr>
    </w:lvl>
    <w:lvl w:ilvl="8">
      <w:start w:val="0"/>
      <w:numFmt w:val="bullet"/>
      <w:lvlText w:val="•"/>
      <w:lvlJc w:val="left"/>
      <w:pPr>
        <w:ind w:left="14708" w:hanging="5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93"/>
      <w:ind w:left="656" w:right="116" w:hanging="540"/>
      <w:jc w:val="both"/>
    </w:pPr>
    <w:rPr>
      <w:rFonts w:ascii="Calibri" w:hAnsi="Calibri" w:eastAsia="Calibri" w:cs="Calibri"/>
      <w:sz w:val="44"/>
      <w:szCs w:val="44"/>
      <w:lang w:val="en-US" w:eastAsia="en-US" w:bidi="ar-SA"/>
    </w:rPr>
  </w:style>
  <w:style w:styleId="Title" w:type="paragraph">
    <w:name w:val="Title"/>
    <w:basedOn w:val="Normal"/>
    <w:uiPriority w:val="1"/>
    <w:qFormat/>
    <w:pPr>
      <w:spacing w:line="1179" w:lineRule="exact"/>
      <w:ind w:left="4364" w:right="3871"/>
      <w:jc w:val="center"/>
    </w:pPr>
    <w:rPr>
      <w:rFonts w:ascii="Calibri" w:hAnsi="Calibri" w:eastAsia="Calibri" w:cs="Calibri"/>
      <w:sz w:val="108"/>
      <w:szCs w:val="108"/>
      <w:lang w:val="en-US" w:eastAsia="en-US" w:bidi="ar-SA"/>
    </w:rPr>
  </w:style>
  <w:style w:styleId="ListParagraph" w:type="paragraph">
    <w:name w:val="List Paragraph"/>
    <w:basedOn w:val="Normal"/>
    <w:uiPriority w:val="1"/>
    <w:qFormat/>
    <w:pPr>
      <w:spacing w:before="193"/>
      <w:ind w:left="656" w:right="116" w:hanging="540"/>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2026-10-01T11:30:48Z</dcterms:created>
  <dcterms:modified xsi:type="dcterms:W3CDTF">2026-10-01T11:30:48Z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2026-10-01T00:00:00Z</vt:filetime>
  </property>
  <property fmtid="{D5CDD505-2E9C-101B-9397-08002B2CF9AE}" pid="3" name="Creator">
    <vt:lpwstr>Microsoft® PowerPoint® LTSC</vt:lpwstr>
  </property>
  <property fmtid="{D5CDD505-2E9C-101B-9397-08002B2CF9AE}" pid="4" name="LastSaved">
    <vt:filetime>2026-10-01T00:00:00Z</vt:filetime>
  </property>
  <property fmtid="{D5CDD505-2E9C-101B-9397-08002B2CF9AE}" pid="5" name="Producer">
    <vt:lpwstr>Microsoft® PowerPoint® LTSC</vt:lpwstr>
  </property>
</Properties>
</file>