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can write the model as follows:</w:t>
      </w:r>
    </w:p>
    <w:p>
      <w:pPr>
        <w:pStyle w:val="BodyText"/>
      </w:pPr>
      <m:oMathPara>
        <m:oMathParaPr>
          <m:jc m:val="center"/>
        </m:oMathParaPr>
        <m:oMath>
          <m:sSub>
            <m:e>
              <m:r>
                <m:t>y</m:t>
              </m:r>
            </m:e>
            <m:sub>
              <m:r>
                <m:t>i</m:t>
              </m:r>
            </m:sub>
          </m:sSub>
          <m:r>
            <m:t>∼</m:t>
          </m:r>
          <m:r>
            <m:rPr>
              <m:sty m:val="p"/>
            </m:rPr>
            <m:t>N</m:t>
          </m:r>
          <m:r>
            <m:rPr>
              <m:sty m:val="p"/>
            </m:rPr>
            <m:t>o</m:t>
          </m:r>
          <m:r>
            <m:rPr>
              <m:sty m:val="p"/>
            </m:rPr>
            <m:t>r</m:t>
          </m:r>
          <m:r>
            <m:rPr>
              <m:sty m:val="p"/>
            </m:rPr>
            <m:t>m</m:t>
          </m:r>
          <m:r>
            <m:rPr>
              <m:sty m:val="p"/>
            </m:rPr>
            <m:t>a</m:t>
          </m:r>
          <m:r>
            <m:rPr>
              <m:sty m:val="p"/>
            </m:rPr>
            <m:t>l</m:t>
          </m:r>
          <m:d>
            <m:dPr>
              <m:begChr m:val="("/>
              <m:endChr m:val=")"/>
              <m:grow/>
            </m:dPr>
            <m:e>
              <m:sSubSup>
                <m:e>
                  <m:r>
                    <m:t>y</m:t>
                  </m:r>
                </m:e>
                <m:sub>
                  <m:r>
                    <m:t>i</m:t>
                  </m:r>
                </m:sub>
                <m:sup>
                  <m:r>
                    <m:rPr>
                      <m:sty m:val="p"/>
                    </m:rPr>
                    <m:t>t</m:t>
                  </m:r>
                  <m:r>
                    <m:rPr>
                      <m:sty m:val="p"/>
                    </m:rPr>
                    <m:t>r</m:t>
                  </m:r>
                  <m:r>
                    <m:rPr>
                      <m:sty m:val="p"/>
                    </m:rPr>
                    <m:t>u</m:t>
                  </m:r>
                  <m:r>
                    <m:rPr>
                      <m:sty m:val="p"/>
                    </m:rPr>
                    <m:t>e</m:t>
                  </m:r>
                </m:sup>
              </m:sSubSup>
              <m:r>
                <m:t>,</m:t>
              </m:r>
              <m:sSubSup>
                <m:e>
                  <m:r>
                    <m:t>τ</m:t>
                  </m:r>
                </m:e>
                <m:sub>
                  <m:r>
                    <m:t>i</m:t>
                  </m:r>
                </m:sub>
                <m:sup>
                  <m:r>
                    <m:t>2</m:t>
                  </m:r>
                </m:sup>
              </m:sSubSup>
            </m:e>
          </m:d>
          <m:r>
            <m:t>,</m:t>
          </m:r>
        </m:oMath>
      </m:oMathPara>
    </w:p>
    <w:p>
      <w:pPr>
        <w:pStyle w:val="FirstParagraph"/>
      </w:pPr>
      <m:oMathPara>
        <m:oMathParaPr>
          <m:jc m:val="center"/>
        </m:oMathParaPr>
        <m:oMath>
          <m:sSubSup>
            <m:e>
              <m:r>
                <m:t>y</m:t>
              </m:r>
            </m:e>
            <m:sub>
              <m:r>
                <m:t>i</m:t>
              </m:r>
            </m:sub>
            <m:sup>
              <m:r>
                <m:rPr>
                  <m:sty m:val="p"/>
                </m:rPr>
                <m:t>t</m:t>
              </m:r>
              <m:r>
                <m:rPr>
                  <m:sty m:val="p"/>
                </m:rPr>
                <m:t>r</m:t>
              </m:r>
              <m:r>
                <m:rPr>
                  <m:sty m:val="p"/>
                </m:rPr>
                <m:t>u</m:t>
              </m:r>
              <m:r>
                <m:rPr>
                  <m:sty m:val="p"/>
                </m:rPr>
                <m:t>e</m:t>
              </m:r>
            </m:sup>
          </m:sSubSup>
          <m:r>
            <m:t>=</m:t>
          </m:r>
          <m:sSub>
            <m:e>
              <m:r>
                <m:t>β</m:t>
              </m:r>
            </m:e>
            <m:sub>
              <m:r>
                <m:t>0</m:t>
              </m:r>
            </m:sub>
          </m:sSub>
          <m:r>
            <m:t>+</m:t>
          </m:r>
          <m:sSub>
            <m:e>
              <m:r>
                <m:t>β</m:t>
              </m:r>
            </m:e>
            <m:sub>
              <m:r>
                <m:t>1</m:t>
              </m:r>
            </m:sub>
          </m:sSub>
          <m:sSub>
            <m:e>
              <m:r>
                <m:t>H</m:t>
              </m:r>
            </m:e>
            <m:sub>
              <m:r>
                <m:t>i</m:t>
              </m:r>
            </m:sub>
          </m:sSub>
          <m:r>
            <m:t>+</m:t>
          </m:r>
          <m:sSub>
            <m:e>
              <m:r>
                <m:t>β</m:t>
              </m:r>
            </m:e>
            <m:sub>
              <m:r>
                <m:t>2</m:t>
              </m:r>
            </m:sub>
          </m:sSub>
          <m:sSub>
            <m:e>
              <m:r>
                <m:t>L</m:t>
              </m:r>
            </m:e>
            <m:sub>
              <m:r>
                <m:t>i</m:t>
              </m:r>
            </m:sub>
          </m:sSub>
          <m:r>
            <m:t>+</m:t>
          </m:r>
          <m:sSub>
            <m:e>
              <m:r>
                <m:t>β</m:t>
              </m:r>
            </m:e>
            <m:sub>
              <m:r>
                <m:t>3</m:t>
              </m:r>
            </m:sub>
          </m:sSub>
          <m:sSub>
            <m:e>
              <m:r>
                <m:t>R</m:t>
              </m:r>
            </m:e>
            <m:sub>
              <m:r>
                <m:t>i</m:t>
              </m:r>
            </m:sub>
          </m:sSub>
          <m:r>
            <m:t>+</m:t>
          </m:r>
          <m:sSub>
            <m:e>
              <m:r>
                <m:t>β</m:t>
              </m:r>
            </m:e>
            <m:sub>
              <m:r>
                <m:t>4</m:t>
              </m:r>
            </m:sub>
          </m:sSub>
          <m:sSub>
            <m:e>
              <m:r>
                <m:t>R</m:t>
              </m:r>
            </m:e>
            <m:sub>
              <m:r>
                <m:t>i</m:t>
              </m:r>
            </m:sub>
          </m:sSub>
          <m:sSub>
            <m:e>
              <m:r>
                <m:t>L</m:t>
              </m:r>
            </m:e>
            <m:sub>
              <m:r>
                <m:t>i</m:t>
              </m:r>
            </m:sub>
          </m:sSub>
          <m:r>
            <m:t>+</m:t>
          </m:r>
          <m:sSub>
            <m:e>
              <m:r>
                <m:t>β</m:t>
              </m:r>
            </m:e>
            <m:sub>
              <m:r>
                <m:t>5</m:t>
              </m:r>
            </m:sub>
          </m:sSub>
          <m:sSub>
            <m:e>
              <m:r>
                <m:t>R</m:t>
              </m:r>
            </m:e>
            <m:sub>
              <m:r>
                <m:t>i</m:t>
              </m:r>
            </m:sub>
          </m:sSub>
          <m:sSub>
            <m:e>
              <m:r>
                <m:t>H</m:t>
              </m:r>
            </m:e>
            <m:sub>
              <m:r>
                <m:t>i</m:t>
              </m:r>
            </m:sub>
          </m:sSub>
          <m:r>
            <m:t>+</m:t>
          </m:r>
          <m:sSub>
            <m:e>
              <m:r>
                <m:t>ϵ</m:t>
              </m:r>
            </m:e>
            <m:sub>
              <m:r>
                <m:t>i</m:t>
              </m:r>
            </m:sub>
          </m:sSub>
          <m:r>
            <m:t>,</m:t>
          </m:r>
        </m:oMath>
      </m:oMathPara>
    </w:p>
    <w:p>
      <w:pPr>
        <w:pStyle w:val="FirstParagraph"/>
      </w:pPr>
      <m:oMathPara>
        <m:oMathParaPr>
          <m:jc m:val="center"/>
        </m:oMathParaPr>
        <m:oMath>
          <m:sSub>
            <m:e>
              <m:r>
                <m:t>ϵ</m:t>
              </m:r>
            </m:e>
            <m:sub>
              <m:r>
                <m:t>i</m:t>
              </m:r>
            </m:sub>
          </m:sSub>
          <m:r>
            <m:t>∼</m:t>
          </m:r>
          <m:r>
            <m:rPr>
              <m:sty m:val="p"/>
            </m:rPr>
            <m:t>N</m:t>
          </m:r>
          <m:r>
            <m:rPr>
              <m:sty m:val="p"/>
            </m:rPr>
            <m:t>o</m:t>
          </m:r>
          <m:r>
            <m:rPr>
              <m:sty m:val="p"/>
            </m:rPr>
            <m:t>r</m:t>
          </m:r>
          <m:r>
            <m:rPr>
              <m:sty m:val="p"/>
            </m:rPr>
            <m:t>m</m:t>
          </m:r>
          <m:r>
            <m:rPr>
              <m:sty m:val="p"/>
            </m:rPr>
            <m:t>a</m:t>
          </m:r>
          <m:r>
            <m:rPr>
              <m:sty m:val="p"/>
            </m:rPr>
            <m:t>l</m:t>
          </m:r>
          <m:r>
            <m:t>(</m:t>
          </m:r>
          <m:r>
            <m:t>0</m:t>
          </m:r>
          <m:r>
            <m:t>,</m:t>
          </m:r>
          <m:sSup>
            <m:e>
              <m:r>
                <m:t>σ</m:t>
              </m:r>
            </m:e>
            <m:sup>
              <m:r>
                <m:t>2</m:t>
              </m:r>
            </m:sup>
          </m:sSup>
          <m:r>
            <m:t>)</m:t>
          </m:r>
          <m:r>
            <m:t>,</m:t>
          </m:r>
        </m:oMath>
      </m:oMathPara>
    </w:p>
    <w:p>
      <w:pPr>
        <w:pStyle w:val="FirstParagraph"/>
      </w:pPr>
      <w:r>
        <w:t xml:space="preserve">where</w:t>
      </w:r>
      <w:r>
        <w:t xml:space="preserve"> </w:t>
      </w:r>
      <m:oMath>
        <m:sSub>
          <m:e>
            <m:r>
              <m:t>y</m:t>
            </m:r>
          </m:e>
          <m:sub>
            <m:r>
              <m:t>i</m:t>
            </m:r>
          </m:sub>
        </m:sSub>
      </m:oMath>
      <w:r>
        <w:t xml:space="preserve"> </w:t>
      </w:r>
      <w:r>
        <w:t xml:space="preserve">and</w:t>
      </w:r>
      <w:r>
        <w:t xml:space="preserve"> </w:t>
      </w:r>
      <m:oMath>
        <m:sSub>
          <m:e>
            <m:r>
              <m:t>τ</m:t>
            </m:r>
          </m:e>
          <m:sub>
            <m:r>
              <m:t>i</m:t>
            </m:r>
          </m:sub>
        </m:sSub>
      </m:oMath>
      <w:r>
        <w:t xml:space="preserve"> </w:t>
      </w:r>
      <w:r>
        <w:t xml:space="preserve">represent the mean and standard deviation of the</w:t>
      </w:r>
      <w:r>
        <w:t xml:space="preserve"> </w:t>
      </w:r>
      <w:r>
        <w:t xml:space="preserve">log-transformed posterior of one of our response variables for site</w:t>
      </w:r>
      <w:r>
        <w:t xml:space="preserve"> </w:t>
      </w:r>
      <m:oMath>
        <m:r>
          <m:t>i</m:t>
        </m:r>
      </m:oMath>
      <w:r>
        <w:t xml:space="preserve">,</w:t>
      </w:r>
      <w:r>
        <w:t xml:space="preserve"> </w:t>
      </w:r>
      <m:oMath>
        <m:sSubSup>
          <m:e>
            <m:r>
              <m:t>y</m:t>
            </m:r>
          </m:e>
          <m:sub>
            <m:r>
              <m:t>i</m:t>
            </m:r>
          </m:sub>
          <m:sup>
            <m:r>
              <m:rPr>
                <m:sty m:val="p"/>
              </m:rPr>
              <m:t>t</m:t>
            </m:r>
            <m:r>
              <m:rPr>
                <m:sty m:val="p"/>
              </m:rPr>
              <m:t>r</m:t>
            </m:r>
            <m:r>
              <m:rPr>
                <m:sty m:val="p"/>
              </m:rPr>
              <m:t>u</m:t>
            </m:r>
            <m:r>
              <m:rPr>
                <m:sty m:val="p"/>
              </m:rPr>
              <m:t>e</m:t>
            </m:r>
          </m:sup>
        </m:sSubSup>
      </m:oMath>
      <w:r>
        <w:t xml:space="preserve"> </w:t>
      </w:r>
      <w:r>
        <w:t xml:space="preserve">represents the "true" unobserved value of that response</w:t>
      </w:r>
      <w:r>
        <w:t xml:space="preserve"> </w:t>
      </w:r>
      <w:r>
        <w:t xml:space="preserve">variable, the</w:t>
      </w:r>
      <w:r>
        <w:t xml:space="preserve"> </w:t>
      </w:r>
      <m:oMath>
        <m:r>
          <m:t>β</m:t>
        </m:r>
      </m:oMath>
      <w:r>
        <w:t xml:space="preserve">'s represent estimated coefficients, and</w:t>
      </w:r>
      <w:r>
        <w:t xml:space="preserve"> </w:t>
      </w:r>
      <m:oMath>
        <m:sSub>
          <m:e>
            <m:r>
              <m:t>H</m:t>
            </m:r>
          </m:e>
          <m:sub>
            <m:r>
              <m:t>i</m:t>
            </m:r>
          </m:sub>
        </m:sSub>
      </m:oMath>
      <w:r>
        <w:t xml:space="preserve">,</w:t>
      </w:r>
      <w:r>
        <w:t xml:space="preserve"> </w:t>
      </w:r>
      <m:oMath>
        <m:sSub>
          <m:e>
            <m:r>
              <m:t>L</m:t>
            </m:r>
          </m:e>
          <m:sub>
            <m:r>
              <m:t>i</m:t>
            </m:r>
          </m:sub>
        </m:sSub>
      </m:oMath>
      <w:r>
        <w:t xml:space="preserve">, and</w:t>
      </w:r>
      <w:r>
        <w:t xml:space="preserve"> </w:t>
      </w:r>
      <m:oMath>
        <m:sSub>
          <m:e>
            <m:r>
              <m:t>R</m:t>
            </m:r>
          </m:e>
          <m:sub>
            <m:r>
              <m:t>i</m:t>
            </m:r>
          </m:sub>
        </m:sSub>
      </m:oMath>
      <w:r>
        <w:t xml:space="preserve"> </w:t>
      </w:r>
      <w:r>
        <w:t xml:space="preserve">represent the habitat index variable, the lionfish density, and a binary</w:t>
      </w:r>
      <w:r>
        <w:t xml:space="preserve"> </w:t>
      </w:r>
      <w:r>
        <w:t xml:space="preserve">variable representing whether lionfish were removed, respectively, for each site</w:t>
      </w:r>
      <w:r>
        <w:t xml:space="preserve"> </w:t>
      </w:r>
      <m:oMath>
        <m:r>
          <m:t>i</m:t>
        </m:r>
      </m:oMath>
      <w:r>
        <w:t xml:space="preserve">.</w:t>
      </w:r>
      <w:r>
        <w:t xml:space="preserve"> </w:t>
      </w:r>
      <w:r>
        <w:t xml:space="preserve">The variable</w:t>
      </w:r>
      <w:r>
        <w:t xml:space="preserve"> </w:t>
      </w:r>
      <m:oMath>
        <m:sSub>
          <m:e>
            <m:r>
              <m:t>ϵ</m:t>
            </m:r>
          </m:e>
          <m:sub>
            <m:r>
              <m:t>i</m:t>
            </m:r>
          </m:sub>
        </m:sSub>
      </m:oMath>
      <w:r>
        <w:t xml:space="preserve"> </w:t>
      </w:r>
      <w:r>
        <w:t xml:space="preserve">represents independent normally distributed residual error with mean 0 and</w:t>
      </w:r>
      <w:r>
        <w:t xml:space="preserve"> </w:t>
      </w:r>
      <w:r>
        <w:t xml:space="preserve">standard deviation</w:t>
      </w:r>
      <w:r>
        <w:t xml:space="preserve"> </w:t>
      </w:r>
      <m:oMath>
        <m:r>
          <m:t>σ</m:t>
        </m:r>
      </m:oMath>
      <w:r>
        <w:t xml:space="preserve">.</w:t>
      </w:r>
    </w:p>
    <w:p>
      <w:pPr>
        <w:pStyle w:val="BodyText"/>
      </w:pPr>
      <w:r>
        <w:t xml:space="preserve">In order to make the coefficients approximately comparable across predictors, we centered and scaled each continuous predictor by subtracting its mean and dividing by two times its standard deviation (Gelman REF). We scaled by</w:t>
      </w:r>
      <w:r>
        <w:t xml:space="preserve"> </w:t>
      </w:r>
      <w:r>
        <w:rPr>
          <w:i/>
        </w:rPr>
        <w:t xml:space="preserve">two</w:t>
      </w:r>
      <w:r>
        <w:t xml:space="preserve"> </w:t>
      </w:r>
      <w:r>
        <w:t xml:space="preserve">times the standard deviation so that the coefficients on the continuous predictors are approximately comparable to the removal treatment binary predictor (Gelman REF). In the case of the binary removal treatment, we centered the predictor by subtracting its mean. Therefore, instead of</w:t>
      </w:r>
      <w:r>
        <w:t xml:space="preserve"> </w:t>
      </w:r>
      <m:oMath>
        <m:sSub>
          <m:e>
            <m:r>
              <m:t>R</m:t>
            </m:r>
          </m:e>
          <m:sub>
            <m:r>
              <m:t>i</m:t>
            </m:r>
          </m:sub>
        </m:sSub>
      </m:oMath>
      <w:r>
        <w:t xml:space="preserve"> </w:t>
      </w:r>
      <w:r>
        <w:t xml:space="preserve">being represented as 0s and 1s, it was represented as -0.5 (no removal) or 0.5 (lionfish removed). Because the removal treatment is centered, the coefficients for lionfish density and the habitat variable represent the effects of these variables averaged across the lionfish removal treatments --- they represent effects for a theoretical site with half the lionfish removal treatment.</w:t>
      </w:r>
    </w:p>
    <w:p>
      <w:pPr>
        <w:pStyle w:val="BodyText"/>
      </w:pPr>
      <w:r>
        <w:t xml:space="preserve">We fit our models in a Bayesian framework using</w:t>
      </w:r>
      <w:r>
        <w:t xml:space="preserve"> </w:t>
      </w:r>
      <w:r>
        <w:t xml:space="preserve">Stan 2.14.1 [REFs] and R 3.3.2 [REF] to incorporate</w:t>
      </w:r>
      <w:r>
        <w:t xml:space="preserve"> </w:t>
      </w:r>
      <w:r>
        <w:t xml:space="preserve">the measurement uncertainty,</w:t>
      </w:r>
      <w:r>
        <w:t xml:space="preserve"> </w:t>
      </w:r>
      <m:oMath>
        <m:r>
          <m:t>τ</m:t>
        </m:r>
      </m:oMath>
      <w:r>
        <w:t xml:space="preserve">.</w:t>
      </w:r>
      <w:r>
        <w:t xml:space="preserve"> </w:t>
      </w:r>
      <w:r>
        <w:t xml:space="preserve">We assigned weakly informative</w:t>
      </w:r>
      <w:r>
        <w:t xml:space="preserve"> </w:t>
      </w:r>
      <w:r>
        <w:t xml:space="preserve">priors on all parameters: Normal</w:t>
      </w:r>
      <m:oMath>
        <m:r>
          <m:t>(</m:t>
        </m:r>
        <m:r>
          <m:t>0</m:t>
        </m:r>
        <m:r>
          <m:t>,</m:t>
        </m:r>
        <m:sSup>
          <m:e>
            <m:r>
              <m:t>2</m:t>
            </m:r>
          </m:e>
          <m:sup>
            <m:r>
              <m:t>2</m:t>
            </m:r>
          </m:sup>
        </m:sSup>
        <m:r>
          <m:t>)</m:t>
        </m:r>
      </m:oMath>
      <w:r>
        <w:t xml:space="preserve"> </w:t>
      </w:r>
      <w:r>
        <w:t xml:space="preserve">priors on the slope parameters</w:t>
      </w:r>
      <w:r>
        <w:t xml:space="preserve"> </w:t>
      </w:r>
      <m:oMath>
        <m:sSub>
          <m:e>
            <m:r>
              <m:t>β</m:t>
            </m:r>
          </m:e>
          <m:sub>
            <m:r>
              <m:t>1</m:t>
            </m:r>
          </m:sub>
        </m:sSub>
      </m:oMath>
      <w:r>
        <w:t xml:space="preserve"> </w:t>
      </w:r>
      <w:r>
        <w:t xml:space="preserve">through</w:t>
      </w:r>
      <w:r>
        <w:t xml:space="preserve"> </w:t>
      </w:r>
      <m:oMath>
        <m:sSub>
          <m:e>
            <m:r>
              <m:t>β</m:t>
            </m:r>
          </m:e>
          <m:sub>
            <m:r>
              <m:t>5</m:t>
            </m:r>
          </m:sub>
        </m:sSub>
      </m:oMath>
      <w:r>
        <w:t xml:space="preserve">,</w:t>
      </w:r>
      <w:r>
        <w:t xml:space="preserve"> </w:t>
      </w:r>
      <w:r>
        <w:t xml:space="preserve">a Normal</w:t>
      </w:r>
      <m:oMath>
        <m:r>
          <m:t>(</m:t>
        </m:r>
        <m:r>
          <m:t>0</m:t>
        </m:r>
        <m:r>
          <m:t>,</m:t>
        </m:r>
        <m:sSup>
          <m:e>
            <m:r>
              <m:t>10</m:t>
            </m:r>
          </m:e>
          <m:sup>
            <m:r>
              <m:t>2</m:t>
            </m:r>
          </m:sup>
        </m:sSup>
        <m:r>
          <m:t>)</m:t>
        </m:r>
      </m:oMath>
      <w:r>
        <w:t xml:space="preserve"> </w:t>
      </w:r>
      <w:r>
        <w:t xml:space="preserve">prior on the intercept</w:t>
      </w:r>
      <w:r>
        <w:t xml:space="preserve"> </w:t>
      </w:r>
      <m:oMath>
        <m:sSub>
          <m:e>
            <m:r>
              <m:t>β</m:t>
            </m:r>
          </m:e>
          <m:sub>
            <m:r>
              <m:t>0</m:t>
            </m:r>
          </m:sub>
        </m:sSub>
      </m:oMath>
      <w:r>
        <w:t xml:space="preserve">, and</w:t>
      </w:r>
      <w:r>
        <w:t xml:space="preserve"> </w:t>
      </w:r>
      <w:r>
        <w:t xml:space="preserve">a half-</w:t>
      </w:r>
      <m:oMath>
        <m:r>
          <m:t>t</m:t>
        </m:r>
        <m:r>
          <m:t>(</m:t>
        </m:r>
        <m:r>
          <m:t>3</m:t>
        </m:r>
        <m:r>
          <m:t>,</m:t>
        </m:r>
        <m:r>
          <m:t>0</m:t>
        </m:r>
        <m:r>
          <m:t>,</m:t>
        </m:r>
        <m:r>
          <m:t>2</m:t>
        </m:r>
        <m:r>
          <m:t>)</m:t>
        </m:r>
      </m:oMath>
      <w:r>
        <w:t xml:space="preserve"> </w:t>
      </w:r>
      <w:r>
        <w:t xml:space="preserve">prior (i.e. degrees of</w:t>
      </w:r>
      <w:r>
        <w:t xml:space="preserve"> </w:t>
      </w:r>
      <w:r>
        <w:t xml:space="preserve">freedom of 3 and scale of 2) on</w:t>
      </w:r>
      <w:r>
        <w:t xml:space="preserve"> </w:t>
      </w:r>
      <m:oMath>
        <m:r>
          <m:t>σ</m:t>
        </m:r>
      </m:oMath>
      <w:r>
        <w:t xml:space="preserve">.</w:t>
      </w:r>
      <w:r>
        <w:t xml:space="preserve"> </w:t>
      </w:r>
      <w:r>
        <w:t xml:space="preserve">We ran four chains and 3,000 iterations, discarding the</w:t>
      </w:r>
      <w:r>
        <w:t xml:space="preserve"> </w:t>
      </w:r>
      <w:r>
        <w:t xml:space="preserve">first 1,500 iterations of each chain as</w:t>
      </w:r>
      <w:r>
        <w:t xml:space="preserve"> </w:t>
      </w:r>
      <w:r>
        <w:t xml:space="preserve">warm up.</w:t>
      </w:r>
      <w:r>
        <w:t xml:space="preserve"> </w:t>
      </w:r>
      <w:r>
        <w:t xml:space="preserve">We checked for chain convergence visually with trace plots, ensured</w:t>
      </w:r>
      <w:r>
        <w:t xml:space="preserve"> </w:t>
      </w:r>
      <w:r>
        <w:t xml:space="preserve">that</w:t>
      </w:r>
      <w:r>
        <w:t xml:space="preserve"> </w:t>
      </w:r>
      <m:oMath>
        <m:groupChr>
          <m:groupChrPr>
            <m:chr m:val="^"/>
            <m:pos m:val="top"/>
            <m:vertJc m:val="bot"/>
          </m:groupChrPr>
          <m:e>
            <m:r>
              <m:t>R</m:t>
            </m:r>
          </m:e>
        </m:groupChr>
        <m:r>
          <m:t>&lt;</m:t>
        </m:r>
        <m:r>
          <m:t>1.05</m:t>
        </m:r>
      </m:oMath>
      <w:r>
        <w:t xml:space="preserve"> </w:t>
      </w:r>
      <w:r>
        <w:t xml:space="preserve">(the potential scale reduction factor), and that the</w:t>
      </w:r>
      <w:r>
        <w:t xml:space="preserve"> </w:t>
      </w:r>
      <w:r>
        <w:t xml:space="preserve">effective sample size was greater than 200 for all parameters</w:t>
      </w:r>
      <w:r>
        <w:t xml:space="preserve"> </w:t>
      </w:r>
      <w:r>
        <w:t xml:space="preserve">(Gelman et al. 2014). We used a non-centered parameterization</w:t>
      </w:r>
      <w:r>
        <w:t xml:space="preserve"> </w:t>
      </w:r>
      <w:r>
        <w:t xml:space="preserve">of our hierarchical model and increased the target acceptance rate</w:t>
      </w:r>
      <w:r>
        <w:t xml:space="preserve"> </w:t>
      </w:r>
      <w:r>
        <w:t xml:space="preserve">in Stan to 0.99 to increase sampling efficiency</w:t>
      </w:r>
      <w:r>
        <w:t xml:space="preserve"> </w:t>
      </w:r>
      <w:r>
        <w:t xml:space="preserve">and ensure unbiased estimates (Stan manual REF, Monnahan et al. 2016).</w:t>
      </w:r>
      <w:r>
        <w:t xml:space="preserve"> </w:t>
      </w:r>
      <w:r>
        <w:t xml:space="preserve">Code for our model is available at... [supplement?]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a4d7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2017-02-22T02:41:32Z</dcterms:created>
  <dcterms:modified xsi:type="dcterms:W3CDTF">2017-02-22T02:41:32Z</dcterms:modified>
</cp:coreProperties>
</file>