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noProof/>
        </w:rP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00"/>
                    <a:stretch>
                      <a:fillRect/>
                    </a:stretch>
                  </pic:blipFill>
                  <pic:spPr>
                    <a:xfrm>
                      <a:off x="0" y="0"/>
                      <a:ext cx="7772400" cy="10058400"/>
                    </a:xfrm>
                    <a:prstGeom prst="rect">
                      <a:avLst/>
                    </a:prstGeom>
                  </pic:spPr>
                </pic:pic>
              </a:graphicData>
            </a:graphic>
          </wp:anchor>
        </w:drawing>
      </w:r>
    </w:p>
    <w:p>
      <w:r>
        <w:br w:type="page"/>
      </w:r>
    </w:p>
    <w:p>
      <w:pPr>
        <w:pStyle w:val="Heading1"/>
      </w:pPr>
      <w:r>
        <w:t>How to Use This Blueprint</w:t>
      </w:r>
    </w:p>
    <w:p>
      <w:r>
        <w:t>This guide is for licensed insurance agents who want a clear path into Medicare Advantage and Part D sales. It organizes the work that sits between holding a license and becoming ready to present plans, enroll eligible beneficiaries, follow up, and retain a book of business.</w:t>
      </w:r>
    </w:p>
    <w:p>
      <w:pPr>
        <w:pStyle w:val="Heading2"/>
      </w:pPr>
      <w:r>
        <w:t>What This Guide Provides</w:t>
      </w:r>
    </w:p>
    <w:p>
      <w:pPr>
        <w:pStyle w:val="ListBullet"/>
      </w:pPr>
      <w:r>
        <w:t>A readiness sequence for licensing, annual training, carrier certification, appointment, and local business setup</w:t>
      </w:r>
    </w:p>
    <w:p>
      <w:pPr>
        <w:pStyle w:val="ListBullet"/>
      </w:pPr>
      <w:r>
        <w:t>A budget-conscious approach to certification and business tools</w:t>
      </w:r>
    </w:p>
    <w:p>
      <w:pPr>
        <w:pStyle w:val="ListBullet"/>
      </w:pPr>
      <w:r>
        <w:t>Prospecting methods that respect Medicare contact and marketing rules</w:t>
      </w:r>
    </w:p>
    <w:p>
      <w:pPr>
        <w:pStyle w:val="ListBullet"/>
      </w:pPr>
      <w:r>
        <w:t>A lead-management workflow that can be used manually or inside Agent Rise</w:t>
      </w:r>
    </w:p>
    <w:p>
      <w:pPr>
        <w:pStyle w:val="ListBullet"/>
      </w:pPr>
      <w:r>
        <w:t>A 30-day plan and final readiness checklist</w:t>
      </w:r>
    </w:p>
    <w:p>
      <w:pPr>
        <w:pStyle w:val="Heading2"/>
      </w:pPr>
      <w:r>
        <w:t>Important Use Terms</w:t>
      </w:r>
    </w:p>
    <w:p>
      <w:r>
        <w:t>This publication is licensed to the purchaser for use in the purchaser's own insurance business. It is not a PLR or MRR product. It may not be resold, redistributed, uploaded to a shared library, sublicensed, or represented as another party's original work.</w:t>
      </w:r>
    </w:p>
    <w:p>
      <w:pPr>
        <w:pStyle w:val="Heading2"/>
      </w:pPr>
      <w:r>
        <w:t>Educational and Compliance Notice</w:t>
      </w:r>
    </w:p>
    <w:p>
      <w:r>
        <w:t>This guide provides education and business organization. It does not replace current federal rules, state insurance law, carrier instructions, agency compliance review, or legal advice. Rules, certification prices, carrier requirements, plan availability, and marketing approvals change. Verify each step with the applicable state regulator, carrier, plan sponsor, agency, or FMO before acting.</w:t>
      </w:r>
    </w:p>
    <w:p>
      <w:r>
        <w:br w:type="page"/>
      </w:r>
    </w:p>
    <w:p>
      <w:pPr>
        <w:pStyle w:val="Heading1"/>
      </w:pPr>
      <w:r>
        <w:t>Contents</w:t>
      </w:r>
    </w:p>
    <w:p>
      <w:pPr>
        <w:spacing w:after="100"/>
      </w:pPr>
      <w:r>
        <w:rPr>
          <w:b/>
          <w:color w:val="C8A661"/>
        </w:rPr>
        <w:t xml:space="preserve">1  </w:t>
      </w:r>
      <w:r>
        <w:t>Start With a Verified License</w:t>
      </w:r>
    </w:p>
    <w:p>
      <w:pPr>
        <w:spacing w:after="100"/>
      </w:pPr>
      <w:r>
        <w:rPr>
          <w:b/>
          <w:color w:val="C8A661"/>
        </w:rPr>
        <w:t xml:space="preserve">2  </w:t>
      </w:r>
      <w:r>
        <w:t>Complete the Ready to Sell Sequence</w:t>
      </w:r>
    </w:p>
    <w:p>
      <w:pPr>
        <w:spacing w:after="100"/>
      </w:pPr>
      <w:r>
        <w:rPr>
          <w:b/>
          <w:color w:val="C8A661"/>
        </w:rPr>
        <w:t xml:space="preserve">3  </w:t>
      </w:r>
      <w:r>
        <w:t>Reduce Certification Costs</w:t>
      </w:r>
    </w:p>
    <w:p>
      <w:pPr>
        <w:spacing w:after="100"/>
      </w:pPr>
      <w:r>
        <w:rPr>
          <w:b/>
          <w:color w:val="C8A661"/>
        </w:rPr>
        <w:t xml:space="preserve">4  </w:t>
      </w:r>
      <w:r>
        <w:t>Choose an Agency FMO or Upline</w:t>
      </w:r>
    </w:p>
    <w:p>
      <w:pPr>
        <w:spacing w:after="100"/>
      </w:pPr>
      <w:r>
        <w:rPr>
          <w:b/>
          <w:color w:val="C8A661"/>
        </w:rPr>
        <w:t xml:space="preserve">5  </w:t>
      </w:r>
      <w:r>
        <w:t>Build the Professional Foundation</w:t>
      </w:r>
    </w:p>
    <w:p>
      <w:pPr>
        <w:spacing w:after="100"/>
      </w:pPr>
      <w:r>
        <w:rPr>
          <w:b/>
          <w:color w:val="C8A661"/>
        </w:rPr>
        <w:t xml:space="preserve">6  </w:t>
      </w:r>
      <w:r>
        <w:t>Prospect Within Medicare Contact Rules</w:t>
      </w:r>
    </w:p>
    <w:p>
      <w:pPr>
        <w:spacing w:after="100"/>
      </w:pPr>
      <w:r>
        <w:rPr>
          <w:b/>
          <w:color w:val="C8A661"/>
        </w:rPr>
        <w:t xml:space="preserve">7  </w:t>
      </w:r>
      <w:r>
        <w:t>Build a Lead System Beyond Family and Friends</w:t>
      </w:r>
    </w:p>
    <w:p>
      <w:pPr>
        <w:spacing w:after="100"/>
      </w:pPr>
      <w:r>
        <w:rPr>
          <w:b/>
          <w:color w:val="C8A661"/>
        </w:rPr>
        <w:t xml:space="preserve">8  </w:t>
      </w:r>
      <w:r>
        <w:t>Rise Above the Competition</w:t>
      </w:r>
    </w:p>
    <w:p>
      <w:pPr>
        <w:spacing w:after="100"/>
      </w:pPr>
      <w:r>
        <w:rPr>
          <w:b/>
          <w:color w:val="C8A661"/>
        </w:rPr>
        <w:t xml:space="preserve">9  </w:t>
      </w:r>
      <w:r>
        <w:t>Manage Opportunities With Agent Rise</w:t>
      </w:r>
    </w:p>
    <w:p>
      <w:pPr>
        <w:spacing w:after="100"/>
      </w:pPr>
      <w:r>
        <w:rPr>
          <w:b/>
          <w:color w:val="C8A661"/>
        </w:rPr>
        <w:t xml:space="preserve">10  </w:t>
      </w:r>
      <w:r>
        <w:t>Move From Appointment to Annual Review</w:t>
      </w:r>
    </w:p>
    <w:p>
      <w:pPr>
        <w:spacing w:after="100"/>
      </w:pPr>
      <w:r>
        <w:rPr>
          <w:b/>
          <w:color w:val="C8A661"/>
        </w:rPr>
        <w:t xml:space="preserve">11  </w:t>
      </w:r>
      <w:r>
        <w:t>Complete the First 30 Days</w:t>
      </w:r>
    </w:p>
    <w:p>
      <w:pPr>
        <w:spacing w:after="100"/>
      </w:pPr>
      <w:r>
        <w:rPr>
          <w:b/>
          <w:color w:val="C8A661"/>
        </w:rPr>
        <w:t xml:space="preserve">12  </w:t>
      </w:r>
      <w:r>
        <w:t>Use the Essential Resource Links</w:t>
      </w:r>
    </w:p>
    <w:p>
      <w:pPr>
        <w:spacing w:after="100"/>
      </w:pPr>
      <w:r>
        <w:rPr>
          <w:b/>
          <w:color w:val="C8A661"/>
        </w:rPr>
        <w:t xml:space="preserve">13  </w:t>
      </w:r>
      <w:r>
        <w:t>Complete the Final Readiness Check</w:t>
      </w:r>
    </w:p>
    <w:p>
      <w:r>
        <w:br w:type="page"/>
      </w:r>
    </w:p>
    <w:p>
      <w:pPr>
        <w:pStyle w:val="Heading1"/>
      </w:pPr>
      <w:r>
        <w:t>Start With a Verified License</w:t>
      </w:r>
    </w:p>
    <w:p>
      <w:pPr>
        <w:pStyle w:val="Intro"/>
      </w:pPr>
      <w:r>
        <w:t>An active license is the starting point. Medicare training and carrier certification do not replace state licensing.</w:t>
      </w:r>
    </w:p>
    <w:p>
      <w:pPr>
        <w:pStyle w:val="Heading2"/>
      </w:pPr>
      <w:r>
        <w:t>Confirm the Basics</w:t>
      </w:r>
    </w:p>
    <w:p>
      <w:pPr>
        <w:ind w:left="173" w:hanging="173"/>
      </w:pPr>
      <w:r>
        <w:rPr>
          <w:b/>
        </w:rPr>
        <w:t xml:space="preserve">[ ] </w:t>
      </w:r>
      <w:r>
        <w:t>Confirm that the resident health insurance license is active and includes the authority required by the home state.</w:t>
      </w:r>
    </w:p>
    <w:p>
      <w:pPr>
        <w:ind w:left="173" w:hanging="173"/>
      </w:pPr>
      <w:r>
        <w:rPr>
          <w:b/>
        </w:rPr>
        <w:t xml:space="preserve">[ ] </w:t>
      </w:r>
      <w:r>
        <w:t>Confirm the National Producer Number and the exact name under which carrier contracts will be submitted.</w:t>
      </w:r>
    </w:p>
    <w:p>
      <w:pPr>
        <w:ind w:left="173" w:hanging="173"/>
      </w:pPr>
      <w:r>
        <w:rPr>
          <w:b/>
        </w:rPr>
        <w:t xml:space="preserve">[ ] </w:t>
      </w:r>
      <w:r>
        <w:t>Check every nonresident license before marketing or transacting business in another state.</w:t>
      </w:r>
    </w:p>
    <w:p>
      <w:pPr>
        <w:ind w:left="173" w:hanging="173"/>
      </w:pPr>
      <w:r>
        <w:rPr>
          <w:b/>
        </w:rPr>
        <w:t xml:space="preserve">[ ] </w:t>
      </w:r>
      <w:r>
        <w:t>Record renewal dates and continuing education requirements.</w:t>
      </w:r>
    </w:p>
    <w:p>
      <w:pPr>
        <w:ind w:left="173" w:hanging="173"/>
      </w:pPr>
      <w:r>
        <w:rPr>
          <w:b/>
        </w:rPr>
        <w:t xml:space="preserve">[ ] </w:t>
      </w:r>
      <w:r>
        <w:t>Resolve name, address, or background-question discrepancies before carrier contracting.</w:t>
      </w:r>
    </w:p>
    <w:p>
      <w:pPr>
        <w:pStyle w:val="Heading2"/>
      </w:pPr>
      <w:r>
        <w:t>License Control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880"/>
            <w:shd w:fill="667A93"/>
            <w:tcMar>
              <w:top w:w="100" w:type="dxa"/>
              <w:start w:w="120" w:type="dxa"/>
              <w:bottom w:w="100" w:type="dxa"/>
              <w:end w:w="120" w:type="dxa"/>
            </w:tcMar>
            <w:vAlign w:val="center"/>
          </w:tcPr>
          <w:p>
            <w:pPr>
              <w:jc w:val="center"/>
            </w:pPr>
            <w:r>
              <w:rPr>
                <w:b/>
                <w:color w:val="FFFFFF"/>
                <w:sz w:val="18"/>
              </w:rPr>
              <w:t>Item</w:t>
            </w:r>
          </w:p>
        </w:tc>
        <w:tc>
          <w:tcPr>
            <w:tcW w:type="dxa" w:w="6912"/>
            <w:shd w:fill="667A93"/>
            <w:tcMar>
              <w:top w:w="100" w:type="dxa"/>
              <w:start w:w="120" w:type="dxa"/>
              <w:bottom w:w="100" w:type="dxa"/>
              <w:end w:w="120" w:type="dxa"/>
            </w:tcMar>
            <w:vAlign w:val="center"/>
          </w:tcPr>
          <w:p>
            <w:pPr>
              <w:jc w:val="center"/>
            </w:pPr>
            <w:r>
              <w:rPr>
                <w:b/>
                <w:color w:val="FFFFFF"/>
                <w:sz w:val="18"/>
              </w:rPr>
              <w:t>Record</w:t>
            </w:r>
          </w:p>
        </w:tc>
      </w:tr>
      <w:tr>
        <w:tc>
          <w:tcPr>
            <w:tcW w:type="dxa" w:w="2880"/>
            <w:tcMar>
              <w:top w:w="100" w:type="dxa"/>
              <w:start w:w="120" w:type="dxa"/>
              <w:bottom w:w="100" w:type="dxa"/>
              <w:end w:w="120" w:type="dxa"/>
            </w:tcMar>
            <w:vAlign w:val="center"/>
          </w:tcPr>
          <w:p>
            <w:pPr>
              <w:jc w:val="center"/>
            </w:pPr>
            <w:r>
              <w:rPr>
                <w:sz w:val="17"/>
              </w:rPr>
              <w:t>Resident state</w:t>
            </w:r>
          </w:p>
        </w:tc>
        <w:tc>
          <w:tcPr>
            <w:tcW w:type="dxa" w:w="6912"/>
            <w:tcMar>
              <w:top w:w="100" w:type="dxa"/>
              <w:start w:w="120" w:type="dxa"/>
              <w:bottom w:w="100" w:type="dxa"/>
              <w:end w:w="120" w:type="dxa"/>
            </w:tcMar>
            <w:vAlign w:val="center"/>
          </w:tcPr>
          <w:p>
            <w:pPr>
              <w:jc w:val="left"/>
            </w:pPr>
            <w:r>
              <w:rPr>
                <w:sz w:val="17"/>
              </w:rPr>
              <w:t>State and license number</w:t>
            </w:r>
          </w:p>
        </w:tc>
      </w:tr>
      <w:tr>
        <w:tc>
          <w:tcPr>
            <w:tcW w:type="dxa" w:w="2880"/>
            <w:tcMar>
              <w:top w:w="100" w:type="dxa"/>
              <w:start w:w="120" w:type="dxa"/>
              <w:bottom w:w="100" w:type="dxa"/>
              <w:end w:w="120" w:type="dxa"/>
            </w:tcMar>
            <w:vAlign w:val="center"/>
            <w:shd w:fill="EEF2F6"/>
          </w:tcPr>
          <w:p>
            <w:pPr>
              <w:jc w:val="center"/>
            </w:pPr>
            <w:r>
              <w:rPr>
                <w:sz w:val="17"/>
              </w:rPr>
              <w:t>NPN</w:t>
            </w:r>
          </w:p>
        </w:tc>
        <w:tc>
          <w:tcPr>
            <w:tcW w:type="dxa" w:w="6912"/>
            <w:tcMar>
              <w:top w:w="100" w:type="dxa"/>
              <w:start w:w="120" w:type="dxa"/>
              <w:bottom w:w="100" w:type="dxa"/>
              <w:end w:w="120" w:type="dxa"/>
            </w:tcMar>
            <w:vAlign w:val="center"/>
            <w:shd w:fill="EEF2F6"/>
          </w:tcPr>
          <w:p>
            <w:pPr>
              <w:jc w:val="left"/>
            </w:pPr>
            <w:r>
              <w:rPr>
                <w:sz w:val="17"/>
              </w:rPr>
              <w:t>National Producer Number</w:t>
            </w:r>
          </w:p>
        </w:tc>
      </w:tr>
      <w:tr>
        <w:tc>
          <w:tcPr>
            <w:tcW w:type="dxa" w:w="2880"/>
            <w:tcMar>
              <w:top w:w="100" w:type="dxa"/>
              <w:start w:w="120" w:type="dxa"/>
              <w:bottom w:w="100" w:type="dxa"/>
              <w:end w:w="120" w:type="dxa"/>
            </w:tcMar>
            <w:vAlign w:val="center"/>
          </w:tcPr>
          <w:p>
            <w:pPr>
              <w:jc w:val="center"/>
            </w:pPr>
            <w:r>
              <w:rPr>
                <w:sz w:val="17"/>
              </w:rPr>
              <w:t>Lines of authority</w:t>
            </w:r>
          </w:p>
        </w:tc>
        <w:tc>
          <w:tcPr>
            <w:tcW w:type="dxa" w:w="6912"/>
            <w:tcMar>
              <w:top w:w="100" w:type="dxa"/>
              <w:start w:w="120" w:type="dxa"/>
              <w:bottom w:w="100" w:type="dxa"/>
              <w:end w:w="120" w:type="dxa"/>
            </w:tcMar>
            <w:vAlign w:val="center"/>
          </w:tcPr>
          <w:p>
            <w:pPr>
              <w:jc w:val="left"/>
            </w:pPr>
            <w:r>
              <w:rPr>
                <w:sz w:val="17"/>
              </w:rPr>
              <w:t>Health and other applicable authority</w:t>
            </w:r>
          </w:p>
        </w:tc>
      </w:tr>
      <w:tr>
        <w:tc>
          <w:tcPr>
            <w:tcW w:type="dxa" w:w="2880"/>
            <w:tcMar>
              <w:top w:w="100" w:type="dxa"/>
              <w:start w:w="120" w:type="dxa"/>
              <w:bottom w:w="100" w:type="dxa"/>
              <w:end w:w="120" w:type="dxa"/>
            </w:tcMar>
            <w:vAlign w:val="center"/>
            <w:shd w:fill="EEF2F6"/>
          </w:tcPr>
          <w:p>
            <w:pPr>
              <w:jc w:val="center"/>
            </w:pPr>
            <w:r>
              <w:rPr>
                <w:sz w:val="17"/>
              </w:rPr>
              <w:t>Renewal date</w:t>
            </w:r>
          </w:p>
        </w:tc>
        <w:tc>
          <w:tcPr>
            <w:tcW w:type="dxa" w:w="6912"/>
            <w:tcMar>
              <w:top w:w="100" w:type="dxa"/>
              <w:start w:w="120" w:type="dxa"/>
              <w:bottom w:w="100" w:type="dxa"/>
              <w:end w:w="120" w:type="dxa"/>
            </w:tcMar>
            <w:vAlign w:val="center"/>
            <w:shd w:fill="EEF2F6"/>
          </w:tcPr>
          <w:p>
            <w:pPr>
              <w:jc w:val="left"/>
            </w:pPr>
            <w:r>
              <w:rPr>
                <w:sz w:val="17"/>
              </w:rPr>
              <w:t>Calendar reminder set at least 60 days early</w:t>
            </w:r>
          </w:p>
        </w:tc>
      </w:tr>
      <w:tr>
        <w:tc>
          <w:tcPr>
            <w:tcW w:type="dxa" w:w="2880"/>
            <w:tcMar>
              <w:top w:w="100" w:type="dxa"/>
              <w:start w:w="120" w:type="dxa"/>
              <w:bottom w:w="100" w:type="dxa"/>
              <w:end w:w="120" w:type="dxa"/>
            </w:tcMar>
            <w:vAlign w:val="center"/>
          </w:tcPr>
          <w:p>
            <w:pPr>
              <w:jc w:val="center"/>
            </w:pPr>
            <w:r>
              <w:rPr>
                <w:sz w:val="17"/>
              </w:rPr>
              <w:t>Nonresident states</w:t>
            </w:r>
          </w:p>
        </w:tc>
        <w:tc>
          <w:tcPr>
            <w:tcW w:type="dxa" w:w="6912"/>
            <w:tcMar>
              <w:top w:w="100" w:type="dxa"/>
              <w:start w:w="120" w:type="dxa"/>
              <w:bottom w:w="100" w:type="dxa"/>
              <w:end w:w="120" w:type="dxa"/>
            </w:tcMar>
            <w:vAlign w:val="center"/>
          </w:tcPr>
          <w:p>
            <w:pPr>
              <w:jc w:val="left"/>
            </w:pPr>
            <w:r>
              <w:rPr>
                <w:sz w:val="17"/>
              </w:rPr>
              <w:t>Active status and renewal dates</w:t>
            </w:r>
          </w:p>
        </w:tc>
      </w:tr>
    </w:tbl>
    <w:p>
      <w:pPr>
        <w:spacing w:after="0"/>
      </w:pPr>
    </w:p>
    <w:p>
      <w:r>
        <w:t>NIPR provides state-specific licensing information and license-management services. The NAIC directory identifies each state insurance department. Use the regulator's current instructions when state requirements differ.</w:t>
      </w:r>
    </w:p>
    <w:p>
      <w:r>
        <w:br w:type="page"/>
      </w:r>
    </w:p>
    <w:p>
      <w:pPr>
        <w:pStyle w:val="Heading1"/>
      </w:pPr>
      <w:r>
        <w:t>Complete the Ready to Sell Sequence</w:t>
      </w:r>
    </w:p>
    <w:p>
      <w:pPr>
        <w:pStyle w:val="Intro"/>
      </w:pPr>
      <w:r>
        <w:t>A license permits insurance activity within its authority. It does not by itself make an agent ready to sell a particular Medicare Advantage or Part D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trPr>
        <w:tc>
          <w:tcPr>
            <w:tcW w:type="dxa" w:w="864"/>
            <w:shd w:fill="667A93"/>
            <w:tcMar>
              <w:top w:w="100" w:type="dxa"/>
              <w:start w:w="120" w:type="dxa"/>
              <w:bottom w:w="100" w:type="dxa"/>
              <w:end w:w="120" w:type="dxa"/>
            </w:tcMar>
            <w:vAlign w:val="center"/>
          </w:tcPr>
          <w:p>
            <w:pPr>
              <w:jc w:val="center"/>
            </w:pPr>
            <w:r>
              <w:rPr>
                <w:b/>
                <w:color w:val="FFFFFF"/>
                <w:sz w:val="18"/>
              </w:rPr>
              <w:t>Step</w:t>
            </w:r>
          </w:p>
        </w:tc>
        <w:tc>
          <w:tcPr>
            <w:tcW w:type="dxa" w:w="2952"/>
            <w:shd w:fill="667A93"/>
            <w:tcMar>
              <w:top w:w="100" w:type="dxa"/>
              <w:start w:w="120" w:type="dxa"/>
              <w:bottom w:w="100" w:type="dxa"/>
              <w:end w:w="120" w:type="dxa"/>
            </w:tcMar>
            <w:vAlign w:val="center"/>
          </w:tcPr>
          <w:p>
            <w:pPr>
              <w:jc w:val="center"/>
            </w:pPr>
            <w:r>
              <w:rPr>
                <w:b/>
                <w:color w:val="FFFFFF"/>
                <w:sz w:val="18"/>
              </w:rPr>
              <w:t>Milestone</w:t>
            </w:r>
          </w:p>
        </w:tc>
        <w:tc>
          <w:tcPr>
            <w:tcW w:type="dxa" w:w="5976"/>
            <w:shd w:fill="667A93"/>
            <w:tcMar>
              <w:top w:w="100" w:type="dxa"/>
              <w:start w:w="120" w:type="dxa"/>
              <w:bottom w:w="100" w:type="dxa"/>
              <w:end w:w="120" w:type="dxa"/>
            </w:tcMar>
            <w:vAlign w:val="center"/>
          </w:tcPr>
          <w:p>
            <w:pPr>
              <w:jc w:val="center"/>
            </w:pPr>
            <w:r>
              <w:rPr>
                <w:b/>
                <w:color w:val="FFFFFF"/>
                <w:sz w:val="18"/>
              </w:rPr>
              <w:t>Evidence to Save</w:t>
            </w:r>
          </w:p>
        </w:tc>
      </w:tr>
      <w:tr>
        <w:tc>
          <w:tcPr>
            <w:tcW w:type="dxa" w:w="864"/>
            <w:tcMar>
              <w:top w:w="100" w:type="dxa"/>
              <w:start w:w="120" w:type="dxa"/>
              <w:bottom w:w="100" w:type="dxa"/>
              <w:end w:w="120" w:type="dxa"/>
            </w:tcMar>
            <w:vAlign w:val="center"/>
          </w:tcPr>
          <w:p>
            <w:pPr>
              <w:jc w:val="center"/>
            </w:pPr>
            <w:r>
              <w:rPr>
                <w:sz w:val="17"/>
              </w:rPr>
              <w:t>1</w:t>
            </w:r>
          </w:p>
        </w:tc>
        <w:tc>
          <w:tcPr>
            <w:tcW w:type="dxa" w:w="2952"/>
            <w:tcMar>
              <w:top w:w="100" w:type="dxa"/>
              <w:start w:w="120" w:type="dxa"/>
              <w:bottom w:w="100" w:type="dxa"/>
              <w:end w:w="120" w:type="dxa"/>
            </w:tcMar>
            <w:vAlign w:val="center"/>
          </w:tcPr>
          <w:p>
            <w:pPr>
              <w:jc w:val="left"/>
            </w:pPr>
            <w:r>
              <w:rPr>
                <w:sz w:val="17"/>
              </w:rPr>
              <w:t>License verified</w:t>
            </w:r>
          </w:p>
        </w:tc>
        <w:tc>
          <w:tcPr>
            <w:tcW w:type="dxa" w:w="5976"/>
            <w:tcMar>
              <w:top w:w="100" w:type="dxa"/>
              <w:start w:w="120" w:type="dxa"/>
              <w:bottom w:w="100" w:type="dxa"/>
              <w:end w:w="120" w:type="dxa"/>
            </w:tcMar>
            <w:vAlign w:val="center"/>
          </w:tcPr>
          <w:p>
            <w:pPr>
              <w:jc w:val="left"/>
            </w:pPr>
            <w:r>
              <w:rPr>
                <w:sz w:val="17"/>
              </w:rPr>
              <w:t>Resident and required nonresident licenses are active.</w:t>
            </w:r>
          </w:p>
        </w:tc>
      </w:tr>
      <w:tr>
        <w:tc>
          <w:tcPr>
            <w:tcW w:type="dxa" w:w="864"/>
            <w:tcMar>
              <w:top w:w="100" w:type="dxa"/>
              <w:start w:w="120" w:type="dxa"/>
              <w:bottom w:w="100" w:type="dxa"/>
              <w:end w:w="120" w:type="dxa"/>
            </w:tcMar>
            <w:vAlign w:val="center"/>
            <w:shd w:fill="EEF2F6"/>
          </w:tcPr>
          <w:p>
            <w:pPr>
              <w:jc w:val="center"/>
            </w:pPr>
            <w:r>
              <w:rPr>
                <w:sz w:val="17"/>
              </w:rPr>
              <w:t>2</w:t>
            </w:r>
          </w:p>
        </w:tc>
        <w:tc>
          <w:tcPr>
            <w:tcW w:type="dxa" w:w="2952"/>
            <w:tcMar>
              <w:top w:w="100" w:type="dxa"/>
              <w:start w:w="120" w:type="dxa"/>
              <w:bottom w:w="100" w:type="dxa"/>
              <w:end w:w="120" w:type="dxa"/>
            </w:tcMar>
            <w:vAlign w:val="center"/>
            <w:shd w:fill="EEF2F6"/>
          </w:tcPr>
          <w:p>
            <w:pPr>
              <w:jc w:val="left"/>
            </w:pPr>
            <w:r>
              <w:rPr>
                <w:sz w:val="17"/>
              </w:rPr>
              <w:t>Business relationship selected</w:t>
            </w:r>
          </w:p>
        </w:tc>
        <w:tc>
          <w:tcPr>
            <w:tcW w:type="dxa" w:w="5976"/>
            <w:tcMar>
              <w:top w:w="100" w:type="dxa"/>
              <w:start w:w="120" w:type="dxa"/>
              <w:bottom w:w="100" w:type="dxa"/>
              <w:end w:w="120" w:type="dxa"/>
            </w:tcMar>
            <w:vAlign w:val="center"/>
            <w:shd w:fill="EEF2F6"/>
          </w:tcPr>
          <w:p>
            <w:pPr>
              <w:jc w:val="left"/>
            </w:pPr>
            <w:r>
              <w:rPr>
                <w:sz w:val="17"/>
              </w:rPr>
              <w:t>Agency, FMO, upline, or direct-carrier path is documented.</w:t>
            </w:r>
          </w:p>
        </w:tc>
      </w:tr>
      <w:tr>
        <w:tc>
          <w:tcPr>
            <w:tcW w:type="dxa" w:w="864"/>
            <w:tcMar>
              <w:top w:w="100" w:type="dxa"/>
              <w:start w:w="120" w:type="dxa"/>
              <w:bottom w:w="100" w:type="dxa"/>
              <w:end w:w="120" w:type="dxa"/>
            </w:tcMar>
            <w:vAlign w:val="center"/>
          </w:tcPr>
          <w:p>
            <w:pPr>
              <w:jc w:val="center"/>
            </w:pPr>
            <w:r>
              <w:rPr>
                <w:sz w:val="17"/>
              </w:rPr>
              <w:t>3</w:t>
            </w:r>
          </w:p>
        </w:tc>
        <w:tc>
          <w:tcPr>
            <w:tcW w:type="dxa" w:w="2952"/>
            <w:tcMar>
              <w:top w:w="100" w:type="dxa"/>
              <w:start w:w="120" w:type="dxa"/>
              <w:bottom w:w="100" w:type="dxa"/>
              <w:end w:w="120" w:type="dxa"/>
            </w:tcMar>
            <w:vAlign w:val="center"/>
          </w:tcPr>
          <w:p>
            <w:pPr>
              <w:jc w:val="left"/>
            </w:pPr>
            <w:r>
              <w:rPr>
                <w:sz w:val="17"/>
              </w:rPr>
              <w:t>E and O confirmed</w:t>
            </w:r>
          </w:p>
        </w:tc>
        <w:tc>
          <w:tcPr>
            <w:tcW w:type="dxa" w:w="5976"/>
            <w:tcMar>
              <w:top w:w="100" w:type="dxa"/>
              <w:start w:w="120" w:type="dxa"/>
              <w:bottom w:w="100" w:type="dxa"/>
              <w:end w:w="120" w:type="dxa"/>
            </w:tcMar>
            <w:vAlign w:val="center"/>
          </w:tcPr>
          <w:p>
            <w:pPr>
              <w:jc w:val="left"/>
            </w:pPr>
            <w:r>
              <w:rPr>
                <w:sz w:val="17"/>
              </w:rPr>
              <w:t>Coverage meets the selected organization's and carriers' requirements.</w:t>
            </w:r>
          </w:p>
        </w:tc>
      </w:tr>
      <w:tr>
        <w:tc>
          <w:tcPr>
            <w:tcW w:type="dxa" w:w="864"/>
            <w:tcMar>
              <w:top w:w="100" w:type="dxa"/>
              <w:start w:w="120" w:type="dxa"/>
              <w:bottom w:w="100" w:type="dxa"/>
              <w:end w:w="120" w:type="dxa"/>
            </w:tcMar>
            <w:vAlign w:val="center"/>
            <w:shd w:fill="EEF2F6"/>
          </w:tcPr>
          <w:p>
            <w:pPr>
              <w:jc w:val="center"/>
            </w:pPr>
            <w:r>
              <w:rPr>
                <w:sz w:val="17"/>
              </w:rPr>
              <w:t>4</w:t>
            </w:r>
          </w:p>
        </w:tc>
        <w:tc>
          <w:tcPr>
            <w:tcW w:type="dxa" w:w="2952"/>
            <w:tcMar>
              <w:top w:w="100" w:type="dxa"/>
              <w:start w:w="120" w:type="dxa"/>
              <w:bottom w:w="100" w:type="dxa"/>
              <w:end w:w="120" w:type="dxa"/>
            </w:tcMar>
            <w:vAlign w:val="center"/>
            <w:shd w:fill="EEF2F6"/>
          </w:tcPr>
          <w:p>
            <w:pPr>
              <w:jc w:val="left"/>
            </w:pPr>
            <w:r>
              <w:rPr>
                <w:sz w:val="17"/>
              </w:rPr>
              <w:t>Annual Medicare training passed</w:t>
            </w:r>
          </w:p>
        </w:tc>
        <w:tc>
          <w:tcPr>
            <w:tcW w:type="dxa" w:w="5976"/>
            <w:tcMar>
              <w:top w:w="100" w:type="dxa"/>
              <w:start w:w="120" w:type="dxa"/>
              <w:bottom w:w="100" w:type="dxa"/>
              <w:end w:w="120" w:type="dxa"/>
            </w:tcMar>
            <w:vAlign w:val="center"/>
            <w:shd w:fill="EEF2F6"/>
          </w:tcPr>
          <w:p>
            <w:pPr>
              <w:jc w:val="left"/>
            </w:pPr>
            <w:r>
              <w:rPr>
                <w:sz w:val="17"/>
              </w:rPr>
              <w:t>Complete the current training accepted by the intended carriers.</w:t>
            </w:r>
          </w:p>
        </w:tc>
      </w:tr>
      <w:tr>
        <w:tc>
          <w:tcPr>
            <w:tcW w:type="dxa" w:w="864"/>
            <w:tcMar>
              <w:top w:w="100" w:type="dxa"/>
              <w:start w:w="120" w:type="dxa"/>
              <w:bottom w:w="100" w:type="dxa"/>
              <w:end w:w="120" w:type="dxa"/>
            </w:tcMar>
            <w:vAlign w:val="center"/>
          </w:tcPr>
          <w:p>
            <w:pPr>
              <w:jc w:val="center"/>
            </w:pPr>
            <w:r>
              <w:rPr>
                <w:sz w:val="17"/>
              </w:rPr>
              <w:t>5</w:t>
            </w:r>
          </w:p>
        </w:tc>
        <w:tc>
          <w:tcPr>
            <w:tcW w:type="dxa" w:w="2952"/>
            <w:tcMar>
              <w:top w:w="100" w:type="dxa"/>
              <w:start w:w="120" w:type="dxa"/>
              <w:bottom w:w="100" w:type="dxa"/>
              <w:end w:w="120" w:type="dxa"/>
            </w:tcMar>
            <w:vAlign w:val="center"/>
          </w:tcPr>
          <w:p>
            <w:pPr>
              <w:jc w:val="left"/>
            </w:pPr>
            <w:r>
              <w:rPr>
                <w:sz w:val="17"/>
              </w:rPr>
              <w:t>Carrier certification passed</w:t>
            </w:r>
          </w:p>
        </w:tc>
        <w:tc>
          <w:tcPr>
            <w:tcW w:type="dxa" w:w="5976"/>
            <w:tcMar>
              <w:top w:w="100" w:type="dxa"/>
              <w:start w:w="120" w:type="dxa"/>
              <w:bottom w:w="100" w:type="dxa"/>
              <w:end w:w="120" w:type="dxa"/>
            </w:tcMar>
            <w:vAlign w:val="center"/>
          </w:tcPr>
          <w:p>
            <w:pPr>
              <w:jc w:val="left"/>
            </w:pPr>
            <w:r>
              <w:rPr>
                <w:sz w:val="17"/>
              </w:rPr>
              <w:t>Complete each carrier's product and compliance modules.</w:t>
            </w:r>
          </w:p>
        </w:tc>
      </w:tr>
      <w:tr>
        <w:tc>
          <w:tcPr>
            <w:tcW w:type="dxa" w:w="864"/>
            <w:tcMar>
              <w:top w:w="100" w:type="dxa"/>
              <w:start w:w="120" w:type="dxa"/>
              <w:bottom w:w="100" w:type="dxa"/>
              <w:end w:w="120" w:type="dxa"/>
            </w:tcMar>
            <w:vAlign w:val="center"/>
            <w:shd w:fill="EEF2F6"/>
          </w:tcPr>
          <w:p>
            <w:pPr>
              <w:jc w:val="center"/>
            </w:pPr>
            <w:r>
              <w:rPr>
                <w:sz w:val="17"/>
              </w:rPr>
              <w:t>6</w:t>
            </w:r>
          </w:p>
        </w:tc>
        <w:tc>
          <w:tcPr>
            <w:tcW w:type="dxa" w:w="2952"/>
            <w:tcMar>
              <w:top w:w="100" w:type="dxa"/>
              <w:start w:w="120" w:type="dxa"/>
              <w:bottom w:w="100" w:type="dxa"/>
              <w:end w:w="120" w:type="dxa"/>
            </w:tcMar>
            <w:vAlign w:val="center"/>
            <w:shd w:fill="EEF2F6"/>
          </w:tcPr>
          <w:p>
            <w:pPr>
              <w:jc w:val="left"/>
            </w:pPr>
            <w:r>
              <w:rPr>
                <w:sz w:val="17"/>
              </w:rPr>
              <w:t>Contract and appointment confirmed</w:t>
            </w:r>
          </w:p>
        </w:tc>
        <w:tc>
          <w:tcPr>
            <w:tcW w:type="dxa" w:w="5976"/>
            <w:tcMar>
              <w:top w:w="100" w:type="dxa"/>
              <w:start w:w="120" w:type="dxa"/>
              <w:bottom w:w="100" w:type="dxa"/>
              <w:end w:w="120" w:type="dxa"/>
            </w:tcMar>
            <w:vAlign w:val="center"/>
            <w:shd w:fill="EEF2F6"/>
          </w:tcPr>
          <w:p>
            <w:pPr>
              <w:jc w:val="left"/>
            </w:pPr>
            <w:r>
              <w:rPr>
                <w:sz w:val="17"/>
              </w:rPr>
              <w:t>Do not assume submission equals approval.</w:t>
            </w:r>
          </w:p>
        </w:tc>
      </w:tr>
      <w:tr>
        <w:tc>
          <w:tcPr>
            <w:tcW w:type="dxa" w:w="864"/>
            <w:tcMar>
              <w:top w:w="100" w:type="dxa"/>
              <w:start w:w="120" w:type="dxa"/>
              <w:bottom w:w="100" w:type="dxa"/>
              <w:end w:w="120" w:type="dxa"/>
            </w:tcMar>
            <w:vAlign w:val="center"/>
          </w:tcPr>
          <w:p>
            <w:pPr>
              <w:jc w:val="center"/>
            </w:pPr>
            <w:r>
              <w:rPr>
                <w:sz w:val="17"/>
              </w:rPr>
              <w:t>7</w:t>
            </w:r>
          </w:p>
        </w:tc>
        <w:tc>
          <w:tcPr>
            <w:tcW w:type="dxa" w:w="2952"/>
            <w:tcMar>
              <w:top w:w="100" w:type="dxa"/>
              <w:start w:w="120" w:type="dxa"/>
              <w:bottom w:w="100" w:type="dxa"/>
              <w:end w:w="120" w:type="dxa"/>
            </w:tcMar>
            <w:vAlign w:val="center"/>
          </w:tcPr>
          <w:p>
            <w:pPr>
              <w:jc w:val="left"/>
            </w:pPr>
            <w:r>
              <w:rPr>
                <w:sz w:val="17"/>
              </w:rPr>
              <w:t>Ready to Sell verified</w:t>
            </w:r>
          </w:p>
        </w:tc>
        <w:tc>
          <w:tcPr>
            <w:tcW w:type="dxa" w:w="5976"/>
            <w:tcMar>
              <w:top w:w="100" w:type="dxa"/>
              <w:start w:w="120" w:type="dxa"/>
              <w:bottom w:w="100" w:type="dxa"/>
              <w:end w:w="120" w:type="dxa"/>
            </w:tcMar>
            <w:vAlign w:val="center"/>
          </w:tcPr>
          <w:p>
            <w:pPr>
              <w:jc w:val="left"/>
            </w:pPr>
            <w:r>
              <w:rPr>
                <w:sz w:val="17"/>
              </w:rPr>
              <w:t>Confirm status for each carrier, plan year, product, and state before presenting or enrolling.</w:t>
            </w:r>
          </w:p>
        </w:tc>
      </w:tr>
    </w:tbl>
    <w:p>
      <w:pPr>
        <w:spacing w:after="0"/>
      </w:pPr>
    </w:p>
    <w:p>
      <w:pPr>
        <w:pStyle w:val="Heading2"/>
      </w:pPr>
      <w:r>
        <w:t>Maintain One Readiness Tracker</w:t>
      </w:r>
    </w:p>
    <w:p>
      <w:r>
        <w:t>Track carrier, writing number, states, products, annual training date, carrier-certification date, appointment status, ready-to-sell status, portal login, and renewal deadline. Save completion certificates and confirmation notices. A memory-based system will eventually miss a renewal or status change.</w:t>
      </w:r>
    </w:p>
    <w:p>
      <w:r>
        <w:br w:type="page"/>
      </w:r>
    </w:p>
    <w:p>
      <w:pPr>
        <w:pStyle w:val="Heading1"/>
      </w:pPr>
      <w:r>
        <w:t>Reduce Certification Costs</w:t>
      </w:r>
    </w:p>
    <w:p>
      <w:pPr>
        <w:pStyle w:val="Intro"/>
      </w:pPr>
      <w:r>
        <w:t>The discount matters most before payment. Many savings routes require the agent to enter the training site through a designated carrier or distributor link.</w:t>
      </w:r>
    </w:p>
    <w:p>
      <w:pPr>
        <w:pStyle w:val="Heading2"/>
      </w:pPr>
      <w:r>
        <w:t>Budget First Process</w:t>
      </w:r>
    </w:p>
    <w:p>
      <w:pPr>
        <w:ind w:left="173" w:hanging="173"/>
      </w:pPr>
      <w:r>
        <w:rPr>
          <w:b/>
        </w:rPr>
        <w:t xml:space="preserve">[ ] </w:t>
      </w:r>
      <w:r>
        <w:t>List the carriers and organizations the agent expects to represent.</w:t>
      </w:r>
    </w:p>
    <w:p>
      <w:pPr>
        <w:ind w:left="173" w:hanging="173"/>
      </w:pPr>
      <w:r>
        <w:rPr>
          <w:b/>
        </w:rPr>
        <w:t xml:space="preserve">[ ] </w:t>
      </w:r>
      <w:r>
        <w:t>Ask whether they accept AHIP, NABIP, or another approved Medicare training.</w:t>
      </w:r>
    </w:p>
    <w:p>
      <w:pPr>
        <w:ind w:left="173" w:hanging="173"/>
      </w:pPr>
      <w:r>
        <w:rPr>
          <w:b/>
        </w:rPr>
        <w:t xml:space="preserve">[ ] </w:t>
      </w:r>
      <w:r>
        <w:t>Ask for the current discount link before registering or paying.</w:t>
      </w:r>
    </w:p>
    <w:p>
      <w:pPr>
        <w:ind w:left="173" w:hanging="173"/>
      </w:pPr>
      <w:r>
        <w:rPr>
          <w:b/>
        </w:rPr>
        <w:t xml:space="preserve">[ ] </w:t>
      </w:r>
      <w:r>
        <w:t>Ask whether reimbursement requires production, contracting, or a deadline.</w:t>
      </w:r>
    </w:p>
    <w:p>
      <w:pPr>
        <w:ind w:left="173" w:hanging="173"/>
      </w:pPr>
      <w:r>
        <w:rPr>
          <w:b/>
        </w:rPr>
        <w:t xml:space="preserve">[ ] </w:t>
      </w:r>
      <w:r>
        <w:t>Open the special link and confirm the reduced price before completing checkout.</w:t>
      </w:r>
    </w:p>
    <w:p>
      <w:pPr>
        <w:ind w:left="173" w:hanging="173"/>
      </w:pPr>
      <w:r>
        <w:rPr>
          <w:b/>
        </w:rPr>
        <w:t xml:space="preserve">[ ] </w:t>
      </w:r>
      <w:r>
        <w:t>Save the receipt and completion certificate.</w:t>
      </w:r>
    </w:p>
    <w:p>
      <w:pPr>
        <w:pStyle w:val="Heading2"/>
      </w:pPr>
      <w:r>
        <w:t>Current Example</w:t>
      </w:r>
    </w:p>
    <w:p>
      <w:r>
        <w:t>As verified in September 2026, Redbird Agents advertised a special link reducing the 2027 AHIP price by $50, from $175 to $125, and stated that the link was available without requiring an upline change. Other carriers and distributors may offer discounts or reimbursements. Terms can change, so this example is a starting point rather than a promise.</w:t>
      </w:r>
    </w:p>
    <w:p>
      <w:pPr>
        <w:pStyle w:val="Heading2"/>
      </w:pPr>
      <w:r>
        <w:t>Protect the Exam Attempts</w:t>
      </w:r>
    </w:p>
    <w:p>
      <w:r>
        <w:t>Complete the training modules, use permitted reference materials, and allow enough uninterrupted time for the final assessment. Carrier treatment of failed attempts can differ. Review the intended carriers' rules before using the final available attempt.</w:t>
      </w:r>
    </w:p>
    <w:p>
      <w:r>
        <w:br w:type="page"/>
      </w:r>
    </w:p>
    <w:p>
      <w:pPr>
        <w:pStyle w:val="Heading1"/>
      </w:pPr>
      <w:r>
        <w:t>Choose an Agency FMO or Upline</w:t>
      </w:r>
    </w:p>
    <w:p>
      <w:pPr>
        <w:pStyle w:val="Intro"/>
      </w:pPr>
      <w:r>
        <w:t>A higher commission number is not enough. The contract determines access, service, ownership, release terms, and what happens to renewals.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088"/>
            <w:shd w:fill="667A93"/>
            <w:tcMar>
              <w:top w:w="100" w:type="dxa"/>
              <w:start w:w="120" w:type="dxa"/>
              <w:bottom w:w="100" w:type="dxa"/>
              <w:end w:w="120" w:type="dxa"/>
            </w:tcMar>
            <w:vAlign w:val="center"/>
          </w:tcPr>
          <w:p>
            <w:pPr>
              <w:jc w:val="center"/>
            </w:pPr>
            <w:r>
              <w:rPr>
                <w:b/>
                <w:color w:val="FFFFFF"/>
                <w:sz w:val="18"/>
              </w:rPr>
              <w:t>Review Area</w:t>
            </w:r>
          </w:p>
        </w:tc>
        <w:tc>
          <w:tcPr>
            <w:tcW w:type="dxa" w:w="7704"/>
            <w:shd w:fill="667A93"/>
            <w:tcMar>
              <w:top w:w="100" w:type="dxa"/>
              <w:start w:w="120" w:type="dxa"/>
              <w:bottom w:w="100" w:type="dxa"/>
              <w:end w:w="120" w:type="dxa"/>
            </w:tcMar>
            <w:vAlign w:val="center"/>
          </w:tcPr>
          <w:p>
            <w:pPr>
              <w:jc w:val="center"/>
            </w:pPr>
            <w:r>
              <w:rPr>
                <w:b/>
                <w:color w:val="FFFFFF"/>
                <w:sz w:val="18"/>
              </w:rPr>
              <w:t>Question to Ask in Writing</w:t>
            </w:r>
          </w:p>
        </w:tc>
      </w:tr>
      <w:tr>
        <w:tc>
          <w:tcPr>
            <w:tcW w:type="dxa" w:w="2088"/>
            <w:tcMar>
              <w:top w:w="100" w:type="dxa"/>
              <w:start w:w="120" w:type="dxa"/>
              <w:bottom w:w="100" w:type="dxa"/>
              <w:end w:w="120" w:type="dxa"/>
            </w:tcMar>
            <w:vAlign w:val="center"/>
          </w:tcPr>
          <w:p>
            <w:pPr>
              <w:jc w:val="center"/>
            </w:pPr>
            <w:r>
              <w:rPr>
                <w:sz w:val="17"/>
              </w:rPr>
              <w:t>Contracts</w:t>
            </w:r>
          </w:p>
        </w:tc>
        <w:tc>
          <w:tcPr>
            <w:tcW w:type="dxa" w:w="7704"/>
            <w:tcMar>
              <w:top w:w="100" w:type="dxa"/>
              <w:start w:w="120" w:type="dxa"/>
              <w:bottom w:w="100" w:type="dxa"/>
              <w:end w:w="120" w:type="dxa"/>
            </w:tcMar>
            <w:vAlign w:val="center"/>
          </w:tcPr>
          <w:p>
            <w:pPr>
              <w:jc w:val="left"/>
            </w:pPr>
            <w:r>
              <w:rPr>
                <w:sz w:val="17"/>
              </w:rPr>
              <w:t>Which carriers and products are available in the target counties and states?</w:t>
            </w:r>
          </w:p>
        </w:tc>
      </w:tr>
      <w:tr>
        <w:tc>
          <w:tcPr>
            <w:tcW w:type="dxa" w:w="2088"/>
            <w:tcMar>
              <w:top w:w="100" w:type="dxa"/>
              <w:start w:w="120" w:type="dxa"/>
              <w:bottom w:w="100" w:type="dxa"/>
              <w:end w:w="120" w:type="dxa"/>
            </w:tcMar>
            <w:vAlign w:val="center"/>
            <w:shd w:fill="EEF2F6"/>
          </w:tcPr>
          <w:p>
            <w:pPr>
              <w:jc w:val="center"/>
            </w:pPr>
            <w:r>
              <w:rPr>
                <w:sz w:val="17"/>
              </w:rPr>
              <w:t>Compensation</w:t>
            </w:r>
          </w:p>
        </w:tc>
        <w:tc>
          <w:tcPr>
            <w:tcW w:type="dxa" w:w="7704"/>
            <w:tcMar>
              <w:top w:w="100" w:type="dxa"/>
              <w:start w:w="120" w:type="dxa"/>
              <w:bottom w:w="100" w:type="dxa"/>
              <w:end w:w="120" w:type="dxa"/>
            </w:tcMar>
            <w:vAlign w:val="center"/>
            <w:shd w:fill="EEF2F6"/>
          </w:tcPr>
          <w:p>
            <w:pPr>
              <w:jc w:val="left"/>
            </w:pPr>
            <w:r>
              <w:rPr>
                <w:sz w:val="17"/>
              </w:rPr>
              <w:t>What is paid, when is it paid, and what chargeback rules apply?</w:t>
            </w:r>
          </w:p>
        </w:tc>
      </w:tr>
      <w:tr>
        <w:tc>
          <w:tcPr>
            <w:tcW w:type="dxa" w:w="2088"/>
            <w:tcMar>
              <w:top w:w="100" w:type="dxa"/>
              <w:start w:w="120" w:type="dxa"/>
              <w:bottom w:w="100" w:type="dxa"/>
              <w:end w:w="120" w:type="dxa"/>
            </w:tcMar>
            <w:vAlign w:val="center"/>
          </w:tcPr>
          <w:p>
            <w:pPr>
              <w:jc w:val="center"/>
            </w:pPr>
            <w:r>
              <w:rPr>
                <w:sz w:val="17"/>
              </w:rPr>
              <w:t>Ownership</w:t>
            </w:r>
          </w:p>
        </w:tc>
        <w:tc>
          <w:tcPr>
            <w:tcW w:type="dxa" w:w="7704"/>
            <w:tcMar>
              <w:top w:w="100" w:type="dxa"/>
              <w:start w:w="120" w:type="dxa"/>
              <w:bottom w:w="100" w:type="dxa"/>
              <w:end w:w="120" w:type="dxa"/>
            </w:tcMar>
            <w:vAlign w:val="center"/>
          </w:tcPr>
          <w:p>
            <w:pPr>
              <w:jc w:val="left"/>
            </w:pPr>
            <w:r>
              <w:rPr>
                <w:sz w:val="17"/>
              </w:rPr>
              <w:t>Who owns the book, records, renewals, and client relationship?</w:t>
            </w:r>
          </w:p>
        </w:tc>
      </w:tr>
      <w:tr>
        <w:tc>
          <w:tcPr>
            <w:tcW w:type="dxa" w:w="2088"/>
            <w:tcMar>
              <w:top w:w="100" w:type="dxa"/>
              <w:start w:w="120" w:type="dxa"/>
              <w:bottom w:w="100" w:type="dxa"/>
              <w:end w:w="120" w:type="dxa"/>
            </w:tcMar>
            <w:vAlign w:val="center"/>
            <w:shd w:fill="EEF2F6"/>
          </w:tcPr>
          <w:p>
            <w:pPr>
              <w:jc w:val="center"/>
            </w:pPr>
            <w:r>
              <w:rPr>
                <w:sz w:val="17"/>
              </w:rPr>
              <w:t>Release</w:t>
            </w:r>
          </w:p>
        </w:tc>
        <w:tc>
          <w:tcPr>
            <w:tcW w:type="dxa" w:w="7704"/>
            <w:tcMar>
              <w:top w:w="100" w:type="dxa"/>
              <w:start w:w="120" w:type="dxa"/>
              <w:bottom w:w="100" w:type="dxa"/>
              <w:end w:w="120" w:type="dxa"/>
            </w:tcMar>
            <w:vAlign w:val="center"/>
            <w:shd w:fill="EEF2F6"/>
          </w:tcPr>
          <w:p>
            <w:pPr>
              <w:jc w:val="left"/>
            </w:pPr>
            <w:r>
              <w:rPr>
                <w:sz w:val="17"/>
              </w:rPr>
              <w:t>How can the agent leave, and how long can a release take?</w:t>
            </w:r>
          </w:p>
        </w:tc>
      </w:tr>
      <w:tr>
        <w:tc>
          <w:tcPr>
            <w:tcW w:type="dxa" w:w="2088"/>
            <w:tcMar>
              <w:top w:w="100" w:type="dxa"/>
              <w:start w:w="120" w:type="dxa"/>
              <w:bottom w:w="100" w:type="dxa"/>
              <w:end w:w="120" w:type="dxa"/>
            </w:tcMar>
            <w:vAlign w:val="center"/>
          </w:tcPr>
          <w:p>
            <w:pPr>
              <w:jc w:val="center"/>
            </w:pPr>
            <w:r>
              <w:rPr>
                <w:sz w:val="17"/>
              </w:rPr>
              <w:t>Vesting</w:t>
            </w:r>
          </w:p>
        </w:tc>
        <w:tc>
          <w:tcPr>
            <w:tcW w:type="dxa" w:w="7704"/>
            <w:tcMar>
              <w:top w:w="100" w:type="dxa"/>
              <w:start w:w="120" w:type="dxa"/>
              <w:bottom w:w="100" w:type="dxa"/>
              <w:end w:w="120" w:type="dxa"/>
            </w:tcMar>
            <w:vAlign w:val="center"/>
          </w:tcPr>
          <w:p>
            <w:pPr>
              <w:jc w:val="left"/>
            </w:pPr>
            <w:r>
              <w:rPr>
                <w:sz w:val="17"/>
              </w:rPr>
              <w:t>What happens to renewal compensation after termination, retirement, disability, or death?</w:t>
            </w:r>
          </w:p>
        </w:tc>
      </w:tr>
      <w:tr>
        <w:tc>
          <w:tcPr>
            <w:tcW w:type="dxa" w:w="2088"/>
            <w:tcMar>
              <w:top w:w="100" w:type="dxa"/>
              <w:start w:w="120" w:type="dxa"/>
              <w:bottom w:w="100" w:type="dxa"/>
              <w:end w:w="120" w:type="dxa"/>
            </w:tcMar>
            <w:vAlign w:val="center"/>
            <w:shd w:fill="EEF2F6"/>
          </w:tcPr>
          <w:p>
            <w:pPr>
              <w:jc w:val="center"/>
            </w:pPr>
            <w:r>
              <w:rPr>
                <w:sz w:val="17"/>
              </w:rPr>
              <w:t>Leads</w:t>
            </w:r>
          </w:p>
        </w:tc>
        <w:tc>
          <w:tcPr>
            <w:tcW w:type="dxa" w:w="7704"/>
            <w:tcMar>
              <w:top w:w="100" w:type="dxa"/>
              <w:start w:w="120" w:type="dxa"/>
              <w:bottom w:w="100" w:type="dxa"/>
              <w:end w:w="120" w:type="dxa"/>
            </w:tcMar>
            <w:vAlign w:val="center"/>
            <w:shd w:fill="EEF2F6"/>
          </w:tcPr>
          <w:p>
            <w:pPr>
              <w:jc w:val="left"/>
            </w:pPr>
            <w:r>
              <w:rPr>
                <w:sz w:val="17"/>
              </w:rPr>
              <w:t>Are leads optional? Who owns them? Are co-op terms and chargebacks documented?</w:t>
            </w:r>
          </w:p>
        </w:tc>
      </w:tr>
      <w:tr>
        <w:tc>
          <w:tcPr>
            <w:tcW w:type="dxa" w:w="2088"/>
            <w:tcMar>
              <w:top w:w="100" w:type="dxa"/>
              <w:start w:w="120" w:type="dxa"/>
              <w:bottom w:w="100" w:type="dxa"/>
              <w:end w:w="120" w:type="dxa"/>
            </w:tcMar>
            <w:vAlign w:val="center"/>
          </w:tcPr>
          <w:p>
            <w:pPr>
              <w:jc w:val="center"/>
            </w:pPr>
            <w:r>
              <w:rPr>
                <w:sz w:val="17"/>
              </w:rPr>
              <w:t>Technology</w:t>
            </w:r>
          </w:p>
        </w:tc>
        <w:tc>
          <w:tcPr>
            <w:tcW w:type="dxa" w:w="7704"/>
            <w:tcMar>
              <w:top w:w="100" w:type="dxa"/>
              <w:start w:w="120" w:type="dxa"/>
              <w:bottom w:w="100" w:type="dxa"/>
              <w:end w:w="120" w:type="dxa"/>
            </w:tcMar>
            <w:vAlign w:val="center"/>
          </w:tcPr>
          <w:p>
            <w:pPr>
              <w:jc w:val="left"/>
            </w:pPr>
            <w:r>
              <w:rPr>
                <w:sz w:val="17"/>
              </w:rPr>
              <w:t>What enrollment, quoting, CRM, call, and compliance systems are required?</w:t>
            </w:r>
          </w:p>
        </w:tc>
      </w:tr>
      <w:tr>
        <w:tc>
          <w:tcPr>
            <w:tcW w:type="dxa" w:w="2088"/>
            <w:tcMar>
              <w:top w:w="100" w:type="dxa"/>
              <w:start w:w="120" w:type="dxa"/>
              <w:bottom w:w="100" w:type="dxa"/>
              <w:end w:w="120" w:type="dxa"/>
            </w:tcMar>
            <w:vAlign w:val="center"/>
            <w:shd w:fill="EEF2F6"/>
          </w:tcPr>
          <w:p>
            <w:pPr>
              <w:jc w:val="center"/>
            </w:pPr>
            <w:r>
              <w:rPr>
                <w:sz w:val="17"/>
              </w:rPr>
              <w:t>Support</w:t>
            </w:r>
          </w:p>
        </w:tc>
        <w:tc>
          <w:tcPr>
            <w:tcW w:type="dxa" w:w="7704"/>
            <w:tcMar>
              <w:top w:w="100" w:type="dxa"/>
              <w:start w:w="120" w:type="dxa"/>
              <w:bottom w:w="100" w:type="dxa"/>
              <w:end w:w="120" w:type="dxa"/>
            </w:tcMar>
            <w:vAlign w:val="center"/>
            <w:shd w:fill="EEF2F6"/>
          </w:tcPr>
          <w:p>
            <w:pPr>
              <w:jc w:val="left"/>
            </w:pPr>
            <w:r>
              <w:rPr>
                <w:sz w:val="17"/>
              </w:rPr>
              <w:t>Who handles contracting, certification, escalations, and beneficiary service issues?</w:t>
            </w:r>
          </w:p>
        </w:tc>
      </w:tr>
    </w:tbl>
    <w:p>
      <w:pPr>
        <w:spacing w:after="0"/>
      </w:pPr>
    </w:p>
    <w:p>
      <w:r>
        <w:t>Do not rely on verbal promises about releases, lead costs, daily pay, renewal ownership, or vesting. Obtain the applicable contract, schedules, and policies, then keep the signed version.</w:t>
      </w:r>
    </w:p>
    <w:p>
      <w:r>
        <w:br w:type="page"/>
      </w:r>
    </w:p>
    <w:p>
      <w:pPr>
        <w:pStyle w:val="Heading1"/>
      </w:pPr>
      <w:r>
        <w:t>Build the Professional Foundation</w:t>
      </w:r>
    </w:p>
    <w:p>
      <w:pPr>
        <w:pStyle w:val="Intro"/>
      </w:pPr>
      <w:r>
        <w:t>The agent needs a credible public presence and a private operating system before leads begin arriving.</w:t>
      </w:r>
    </w:p>
    <w:p>
      <w:pPr>
        <w:pStyle w:val="Heading2"/>
      </w:pPr>
      <w:r>
        <w:t>Minimum Business Setup</w:t>
      </w:r>
    </w:p>
    <w:p>
      <w:pPr>
        <w:ind w:left="173" w:hanging="173"/>
      </w:pPr>
      <w:r>
        <w:rPr>
          <w:b/>
        </w:rPr>
        <w:t xml:space="preserve">[ ] </w:t>
      </w:r>
      <w:r>
        <w:t>Professional business email and dedicated phone number</w:t>
      </w:r>
    </w:p>
    <w:p>
      <w:pPr>
        <w:ind w:left="173" w:hanging="173"/>
      </w:pPr>
      <w:r>
        <w:rPr>
          <w:b/>
        </w:rPr>
        <w:t xml:space="preserve">[ ] </w:t>
      </w:r>
      <w:r>
        <w:t>Accurate agent name, NPN, license information, and states served</w:t>
      </w:r>
    </w:p>
    <w:p>
      <w:pPr>
        <w:ind w:left="173" w:hanging="173"/>
      </w:pPr>
      <w:r>
        <w:rPr>
          <w:b/>
        </w:rPr>
        <w:t xml:space="preserve">[ ] </w:t>
      </w:r>
      <w:r>
        <w:t>Business bank account and simple income and expense tracking</w:t>
      </w:r>
    </w:p>
    <w:p>
      <w:pPr>
        <w:ind w:left="173" w:hanging="173"/>
      </w:pPr>
      <w:r>
        <w:rPr>
          <w:b/>
        </w:rPr>
        <w:t xml:space="preserve">[ ] </w:t>
      </w:r>
      <w:r>
        <w:t>Calendar with appointment reminders and protected preparation time</w:t>
      </w:r>
    </w:p>
    <w:p>
      <w:pPr>
        <w:ind w:left="173" w:hanging="173"/>
      </w:pPr>
      <w:r>
        <w:rPr>
          <w:b/>
        </w:rPr>
        <w:t xml:space="preserve">[ ] </w:t>
      </w:r>
      <w:r>
        <w:t>Secure storage for contracts, certifications, consent records, and client documents</w:t>
      </w:r>
    </w:p>
    <w:p>
      <w:pPr>
        <w:ind w:left="173" w:hanging="173"/>
      </w:pPr>
      <w:r>
        <w:rPr>
          <w:b/>
        </w:rPr>
        <w:t xml:space="preserve">[ ] </w:t>
      </w:r>
      <w:r>
        <w:t>Carrier portal and password inventory stored in an appropriate password manager</w:t>
      </w:r>
    </w:p>
    <w:p>
      <w:pPr>
        <w:ind w:left="173" w:hanging="173"/>
      </w:pPr>
      <w:r>
        <w:rPr>
          <w:b/>
        </w:rPr>
        <w:t xml:space="preserve">[ ] </w:t>
      </w:r>
      <w:r>
        <w:t>Simple website with services, service area, contact route, required disclosures, and privacy information</w:t>
      </w:r>
    </w:p>
    <w:p>
      <w:pPr>
        <w:pStyle w:val="Heading2"/>
      </w:pPr>
      <w:r>
        <w:t>Website Starter</w:t>
      </w:r>
    </w:p>
    <w:p>
      <w:r>
        <w:t>The first website does not need many pages. It needs a clear identity, an accurate service area, a permitted way for visitors to request contact, and a professional next step. Use only approved plan-specific marketing materials and required disclosures. Route every inquiry into the same lead-management process.</w:t>
      </w:r>
    </w:p>
    <w:p>
      <w:pPr>
        <w:pStyle w:val="Heading2"/>
      </w:pPr>
      <w:r>
        <w:t>Separate Public and Private Work</w:t>
      </w:r>
    </w:p>
    <w:p>
      <w:r>
        <w:t>The public website explains services and invites permitted contact. The private workspace holds lead records, permissions, appointment status, follow-up tasks, and retention dates. Do not publish beneficiary information, Medicare identifiers, health information, or private notes.</w:t>
      </w:r>
    </w:p>
    <w:p>
      <w:r>
        <w:br w:type="page"/>
      </w:r>
    </w:p>
    <w:p>
      <w:pPr>
        <w:pStyle w:val="Heading1"/>
      </w:pPr>
      <w:r>
        <w:t>Prospect Within Medicare Contact Rules</w:t>
      </w:r>
    </w:p>
    <w:p>
      <w:pPr>
        <w:pStyle w:val="Intro"/>
      </w:pPr>
      <w:r>
        <w:t>Lead generation begins with a lawful contact path. A name or referral is not automatically permission to call, text, message, or visit.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3024"/>
            <w:shd w:fill="667A93"/>
            <w:tcMar>
              <w:top w:w="100" w:type="dxa"/>
              <w:start w:w="120" w:type="dxa"/>
              <w:bottom w:w="100" w:type="dxa"/>
              <w:end w:w="120" w:type="dxa"/>
            </w:tcMar>
            <w:vAlign w:val="center"/>
          </w:tcPr>
          <w:p>
            <w:pPr>
              <w:jc w:val="center"/>
            </w:pPr>
            <w:r>
              <w:rPr>
                <w:b/>
                <w:color w:val="FFFFFF"/>
                <w:sz w:val="18"/>
              </w:rPr>
              <w:t>Permitted Starting Point</w:t>
            </w:r>
          </w:p>
        </w:tc>
        <w:tc>
          <w:tcPr>
            <w:tcW w:type="dxa" w:w="6768"/>
            <w:shd w:fill="667A93"/>
            <w:tcMar>
              <w:top w:w="100" w:type="dxa"/>
              <w:start w:w="120" w:type="dxa"/>
              <w:bottom w:w="100" w:type="dxa"/>
              <w:end w:w="120" w:type="dxa"/>
            </w:tcMar>
            <w:vAlign w:val="center"/>
          </w:tcPr>
          <w:p>
            <w:pPr>
              <w:jc w:val="center"/>
            </w:pPr>
            <w:r>
              <w:rPr>
                <w:b/>
                <w:color w:val="FFFFFF"/>
                <w:sz w:val="18"/>
              </w:rPr>
              <w:t>Control</w:t>
            </w:r>
          </w:p>
        </w:tc>
      </w:tr>
      <w:tr>
        <w:tc>
          <w:tcPr>
            <w:tcW w:type="dxa" w:w="3024"/>
            <w:tcMar>
              <w:top w:w="100" w:type="dxa"/>
              <w:start w:w="120" w:type="dxa"/>
              <w:bottom w:w="100" w:type="dxa"/>
              <w:end w:w="120" w:type="dxa"/>
            </w:tcMar>
            <w:vAlign w:val="center"/>
          </w:tcPr>
          <w:p>
            <w:pPr>
              <w:jc w:val="center"/>
            </w:pPr>
            <w:r>
              <w:rPr>
                <w:sz w:val="17"/>
              </w:rPr>
              <w:t>Conventional mail and print</w:t>
            </w:r>
          </w:p>
        </w:tc>
        <w:tc>
          <w:tcPr>
            <w:tcW w:type="dxa" w:w="6768"/>
            <w:tcMar>
              <w:top w:w="100" w:type="dxa"/>
              <w:start w:w="120" w:type="dxa"/>
              <w:bottom w:w="100" w:type="dxa"/>
              <w:end w:w="120" w:type="dxa"/>
            </w:tcMar>
            <w:vAlign w:val="center"/>
          </w:tcPr>
          <w:p>
            <w:pPr>
              <w:jc w:val="left"/>
            </w:pPr>
            <w:r>
              <w:rPr>
                <w:sz w:val="17"/>
              </w:rPr>
              <w:t>May be used for unsolicited outreach, subject to current plan and material rules.</w:t>
            </w:r>
          </w:p>
        </w:tc>
      </w:tr>
      <w:tr>
        <w:tc>
          <w:tcPr>
            <w:tcW w:type="dxa" w:w="3024"/>
            <w:tcMar>
              <w:top w:w="100" w:type="dxa"/>
              <w:start w:w="120" w:type="dxa"/>
              <w:bottom w:w="100" w:type="dxa"/>
              <w:end w:w="120" w:type="dxa"/>
            </w:tcMar>
            <w:vAlign w:val="center"/>
            <w:shd w:fill="EEF2F6"/>
          </w:tcPr>
          <w:p>
            <w:pPr>
              <w:jc w:val="center"/>
            </w:pPr>
            <w:r>
              <w:rPr>
                <w:sz w:val="17"/>
              </w:rPr>
              <w:t>Email</w:t>
            </w:r>
          </w:p>
        </w:tc>
        <w:tc>
          <w:tcPr>
            <w:tcW w:type="dxa" w:w="6768"/>
            <w:tcMar>
              <w:top w:w="100" w:type="dxa"/>
              <w:start w:w="120" w:type="dxa"/>
              <w:bottom w:w="100" w:type="dxa"/>
              <w:end w:w="120" w:type="dxa"/>
            </w:tcMar>
            <w:vAlign w:val="center"/>
            <w:shd w:fill="EEF2F6"/>
          </w:tcPr>
          <w:p>
            <w:pPr>
              <w:jc w:val="left"/>
            </w:pPr>
            <w:r>
              <w:rPr>
                <w:sz w:val="17"/>
              </w:rPr>
              <w:t>May be used when each message contains an opt-out option and other applicable requirements are met.</w:t>
            </w:r>
          </w:p>
        </w:tc>
      </w:tr>
      <w:tr>
        <w:tc>
          <w:tcPr>
            <w:tcW w:type="dxa" w:w="3024"/>
            <w:tcMar>
              <w:top w:w="100" w:type="dxa"/>
              <w:start w:w="120" w:type="dxa"/>
              <w:bottom w:w="100" w:type="dxa"/>
              <w:end w:w="120" w:type="dxa"/>
            </w:tcMar>
            <w:vAlign w:val="center"/>
          </w:tcPr>
          <w:p>
            <w:pPr>
              <w:jc w:val="center"/>
            </w:pPr>
            <w:r>
              <w:rPr>
                <w:sz w:val="17"/>
              </w:rPr>
              <w:t>Beneficiary initiated contact</w:t>
            </w:r>
          </w:p>
        </w:tc>
        <w:tc>
          <w:tcPr>
            <w:tcW w:type="dxa" w:w="6768"/>
            <w:tcMar>
              <w:top w:w="100" w:type="dxa"/>
              <w:start w:w="120" w:type="dxa"/>
              <w:bottom w:w="100" w:type="dxa"/>
              <w:end w:w="120" w:type="dxa"/>
            </w:tcMar>
            <w:vAlign w:val="center"/>
          </w:tcPr>
          <w:p>
            <w:pPr>
              <w:jc w:val="left"/>
            </w:pPr>
            <w:r>
              <w:rPr>
                <w:sz w:val="17"/>
              </w:rPr>
              <w:t>Return the inquiry and record the source, date, requested channel, and topic.</w:t>
            </w:r>
          </w:p>
        </w:tc>
      </w:tr>
      <w:tr>
        <w:tc>
          <w:tcPr>
            <w:tcW w:type="dxa" w:w="3024"/>
            <w:tcMar>
              <w:top w:w="100" w:type="dxa"/>
              <w:start w:w="120" w:type="dxa"/>
              <w:bottom w:w="100" w:type="dxa"/>
              <w:end w:w="120" w:type="dxa"/>
            </w:tcMar>
            <w:vAlign w:val="center"/>
            <w:shd w:fill="EEF2F6"/>
          </w:tcPr>
          <w:p>
            <w:pPr>
              <w:jc w:val="center"/>
            </w:pPr>
            <w:r>
              <w:rPr>
                <w:sz w:val="17"/>
              </w:rPr>
              <w:t>Business reply card</w:t>
            </w:r>
          </w:p>
        </w:tc>
        <w:tc>
          <w:tcPr>
            <w:tcW w:type="dxa" w:w="6768"/>
            <w:tcMar>
              <w:top w:w="100" w:type="dxa"/>
              <w:start w:w="120" w:type="dxa"/>
              <w:bottom w:w="100" w:type="dxa"/>
              <w:end w:w="120" w:type="dxa"/>
            </w:tcMar>
            <w:vAlign w:val="center"/>
            <w:shd w:fill="EEF2F6"/>
          </w:tcPr>
          <w:p>
            <w:pPr>
              <w:jc w:val="left"/>
            </w:pPr>
            <w:r>
              <w:rPr>
                <w:sz w:val="17"/>
              </w:rPr>
              <w:t>Use current approved language and preserve the request record.</w:t>
            </w:r>
          </w:p>
        </w:tc>
      </w:tr>
      <w:tr>
        <w:tc>
          <w:tcPr>
            <w:tcW w:type="dxa" w:w="3024"/>
            <w:tcMar>
              <w:top w:w="100" w:type="dxa"/>
              <w:start w:w="120" w:type="dxa"/>
              <w:bottom w:w="100" w:type="dxa"/>
              <w:end w:w="120" w:type="dxa"/>
            </w:tcMar>
            <w:vAlign w:val="center"/>
          </w:tcPr>
          <w:p>
            <w:pPr>
              <w:jc w:val="center"/>
            </w:pPr>
            <w:r>
              <w:rPr>
                <w:sz w:val="17"/>
              </w:rPr>
              <w:t>Educational event</w:t>
            </w:r>
          </w:p>
        </w:tc>
        <w:tc>
          <w:tcPr>
            <w:tcW w:type="dxa" w:w="6768"/>
            <w:tcMar>
              <w:top w:w="100" w:type="dxa"/>
              <w:start w:w="120" w:type="dxa"/>
              <w:bottom w:w="100" w:type="dxa"/>
              <w:end w:w="120" w:type="dxa"/>
            </w:tcMar>
            <w:vAlign w:val="center"/>
          </w:tcPr>
          <w:p>
            <w:pPr>
              <w:jc w:val="left"/>
            </w:pPr>
            <w:r>
              <w:rPr>
                <w:sz w:val="17"/>
              </w:rPr>
              <w:t>Provide general Medicare education, communications material, business cards, and a way to request future contact.</w:t>
            </w:r>
          </w:p>
        </w:tc>
      </w:tr>
    </w:tbl>
    <w:p>
      <w:pPr>
        <w:spacing w:after="0"/>
      </w:pPr>
    </w:p>
    <w:p>
      <w:pPr>
        <w:pStyle w:val="Heading2"/>
      </w:pPr>
      <w:r>
        <w:t>Do Not Start Here Without Permission</w:t>
      </w:r>
    </w:p>
    <w:p>
      <w:pPr>
        <w:pStyle w:val="ListBullet"/>
      </w:pPr>
      <w:r>
        <w:t>Cold calls, robocalls, unsolicited texts, voicemail drops, or social-media direct messages</w:t>
      </w:r>
    </w:p>
    <w:p>
      <w:pPr>
        <w:pStyle w:val="ListBullet"/>
      </w:pPr>
      <w:r>
        <w:t>Door-to-door solicitation or leaving materials without a previously scheduled appointment</w:t>
      </w:r>
    </w:p>
    <w:p>
      <w:pPr>
        <w:pStyle w:val="ListBullet"/>
      </w:pPr>
      <w:r>
        <w:t>Approaching beneficiaries in parking lots, hallways, lobbies, or similar common areas</w:t>
      </w:r>
    </w:p>
    <w:p>
      <w:pPr>
        <w:pStyle w:val="ListBullet"/>
      </w:pPr>
      <w:r>
        <w:t>Calling a referred person unless that person has provided consent or initiated contact</w:t>
      </w:r>
    </w:p>
    <w:p>
      <w:r>
        <w:t>At educational events, do not market specific plans or accept applications. Current federal rules allow business cards, communications materials, beneficiary-initiated questions, Business Reply Cards, and Scope of Appointment forms. Use the current carrier or plan process before advertising or conducting an event.</w:t>
      </w:r>
    </w:p>
    <w:p>
      <w:r>
        <w:br w:type="page"/>
      </w:r>
    </w:p>
    <w:p>
      <w:pPr>
        <w:pStyle w:val="Heading1"/>
      </w:pPr>
      <w:r>
        <w:t>Build a Lead System Beyond Family and Friends</w:t>
      </w:r>
    </w:p>
    <w:p>
      <w:pPr>
        <w:pStyle w:val="Intro"/>
      </w:pPr>
      <w:r>
        <w:t>A durable pipeline uses several compliant sources and measures the cost and outcome of each one.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trPr>
        <w:tc>
          <w:tcPr>
            <w:tcW w:type="dxa" w:w="2088"/>
            <w:shd w:fill="667A93"/>
            <w:tcMar>
              <w:top w:w="100" w:type="dxa"/>
              <w:start w:w="120" w:type="dxa"/>
              <w:bottom w:w="100" w:type="dxa"/>
              <w:end w:w="120" w:type="dxa"/>
            </w:tcMar>
            <w:vAlign w:val="center"/>
          </w:tcPr>
          <w:p>
            <w:pPr>
              <w:jc w:val="center"/>
            </w:pPr>
            <w:r>
              <w:rPr>
                <w:b/>
                <w:color w:val="FFFFFF"/>
                <w:sz w:val="18"/>
              </w:rPr>
              <w:t>Source</w:t>
            </w:r>
          </w:p>
        </w:tc>
        <w:tc>
          <w:tcPr>
            <w:tcW w:type="dxa" w:w="1512"/>
            <w:shd w:fill="667A93"/>
            <w:tcMar>
              <w:top w:w="100" w:type="dxa"/>
              <w:start w:w="120" w:type="dxa"/>
              <w:bottom w:w="100" w:type="dxa"/>
              <w:end w:w="120" w:type="dxa"/>
            </w:tcMar>
            <w:vAlign w:val="center"/>
          </w:tcPr>
          <w:p>
            <w:pPr>
              <w:jc w:val="center"/>
            </w:pPr>
            <w:r>
              <w:rPr>
                <w:b/>
                <w:color w:val="FFFFFF"/>
                <w:sz w:val="18"/>
              </w:rPr>
              <w:t>Budget</w:t>
            </w:r>
          </w:p>
        </w:tc>
        <w:tc>
          <w:tcPr>
            <w:tcW w:type="dxa" w:w="3600"/>
            <w:shd w:fill="667A93"/>
            <w:tcMar>
              <w:top w:w="100" w:type="dxa"/>
              <w:start w:w="120" w:type="dxa"/>
              <w:bottom w:w="100" w:type="dxa"/>
              <w:end w:w="120" w:type="dxa"/>
            </w:tcMar>
            <w:vAlign w:val="center"/>
          </w:tcPr>
          <w:p>
            <w:pPr>
              <w:jc w:val="center"/>
            </w:pPr>
            <w:r>
              <w:rPr>
                <w:b/>
                <w:color w:val="FFFFFF"/>
                <w:sz w:val="18"/>
              </w:rPr>
              <w:t>Primary Value</w:t>
            </w:r>
          </w:p>
        </w:tc>
        <w:tc>
          <w:tcPr>
            <w:tcW w:type="dxa" w:w="2592"/>
            <w:shd w:fill="667A93"/>
            <w:tcMar>
              <w:top w:w="100" w:type="dxa"/>
              <w:start w:w="120" w:type="dxa"/>
              <w:bottom w:w="100" w:type="dxa"/>
              <w:end w:w="120" w:type="dxa"/>
            </w:tcMar>
            <w:vAlign w:val="center"/>
          </w:tcPr>
          <w:p>
            <w:pPr>
              <w:jc w:val="center"/>
            </w:pPr>
            <w:r>
              <w:rPr>
                <w:b/>
                <w:color w:val="FFFFFF"/>
                <w:sz w:val="18"/>
              </w:rPr>
              <w:t>Measure</w:t>
            </w:r>
          </w:p>
        </w:tc>
      </w:tr>
      <w:tr>
        <w:tc>
          <w:tcPr>
            <w:tcW w:type="dxa" w:w="2088"/>
            <w:tcMar>
              <w:top w:w="100" w:type="dxa"/>
              <w:start w:w="120" w:type="dxa"/>
              <w:bottom w:w="100" w:type="dxa"/>
              <w:end w:w="120" w:type="dxa"/>
            </w:tcMar>
            <w:vAlign w:val="center"/>
          </w:tcPr>
          <w:p>
            <w:pPr>
              <w:jc w:val="center"/>
            </w:pPr>
            <w:r>
              <w:rPr>
                <w:sz w:val="17"/>
              </w:rPr>
              <w:t>Community education</w:t>
            </w:r>
          </w:p>
        </w:tc>
        <w:tc>
          <w:tcPr>
            <w:tcW w:type="dxa" w:w="1512"/>
            <w:tcMar>
              <w:top w:w="100" w:type="dxa"/>
              <w:start w:w="120" w:type="dxa"/>
              <w:bottom w:w="100" w:type="dxa"/>
              <w:end w:w="120" w:type="dxa"/>
            </w:tcMar>
            <w:vAlign w:val="center"/>
          </w:tcPr>
          <w:p>
            <w:pPr>
              <w:jc w:val="left"/>
            </w:pPr>
            <w:r>
              <w:rPr>
                <w:sz w:val="17"/>
              </w:rPr>
              <w:t>Low to moderate</w:t>
            </w:r>
          </w:p>
        </w:tc>
        <w:tc>
          <w:tcPr>
            <w:tcW w:type="dxa" w:w="3600"/>
            <w:tcMar>
              <w:top w:w="100" w:type="dxa"/>
              <w:start w:w="120" w:type="dxa"/>
              <w:bottom w:w="100" w:type="dxa"/>
              <w:end w:w="120" w:type="dxa"/>
            </w:tcMar>
            <w:vAlign w:val="center"/>
          </w:tcPr>
          <w:p>
            <w:pPr>
              <w:jc w:val="left"/>
            </w:pPr>
            <w:r>
              <w:rPr>
                <w:sz w:val="17"/>
              </w:rPr>
              <w:t>Trust and permission-based follow-up</w:t>
            </w:r>
          </w:p>
        </w:tc>
        <w:tc>
          <w:tcPr>
            <w:tcW w:type="dxa" w:w="2592"/>
            <w:tcMar>
              <w:top w:w="100" w:type="dxa"/>
              <w:start w:w="120" w:type="dxa"/>
              <w:bottom w:w="100" w:type="dxa"/>
              <w:end w:w="120" w:type="dxa"/>
            </w:tcMar>
            <w:vAlign w:val="center"/>
          </w:tcPr>
          <w:p>
            <w:pPr>
              <w:jc w:val="left"/>
            </w:pPr>
            <w:r>
              <w:rPr>
                <w:sz w:val="17"/>
              </w:rPr>
              <w:t>Attendance and contact requests</w:t>
            </w:r>
          </w:p>
        </w:tc>
      </w:tr>
      <w:tr>
        <w:tc>
          <w:tcPr>
            <w:tcW w:type="dxa" w:w="2088"/>
            <w:tcMar>
              <w:top w:w="100" w:type="dxa"/>
              <w:start w:w="120" w:type="dxa"/>
              <w:bottom w:w="100" w:type="dxa"/>
              <w:end w:w="120" w:type="dxa"/>
            </w:tcMar>
            <w:vAlign w:val="center"/>
            <w:shd w:fill="EEF2F6"/>
          </w:tcPr>
          <w:p>
            <w:pPr>
              <w:jc w:val="center"/>
            </w:pPr>
            <w:r>
              <w:rPr>
                <w:sz w:val="17"/>
              </w:rPr>
              <w:t>Professional relationships</w:t>
            </w:r>
          </w:p>
        </w:tc>
        <w:tc>
          <w:tcPr>
            <w:tcW w:type="dxa" w:w="1512"/>
            <w:tcMar>
              <w:top w:w="100" w:type="dxa"/>
              <w:start w:w="120" w:type="dxa"/>
              <w:bottom w:w="100" w:type="dxa"/>
              <w:end w:w="120" w:type="dxa"/>
            </w:tcMar>
            <w:vAlign w:val="center"/>
            <w:shd w:fill="EEF2F6"/>
          </w:tcPr>
          <w:p>
            <w:pPr>
              <w:jc w:val="left"/>
            </w:pPr>
            <w:r>
              <w:rPr>
                <w:sz w:val="17"/>
              </w:rPr>
              <w:t>Low</w:t>
            </w:r>
          </w:p>
        </w:tc>
        <w:tc>
          <w:tcPr>
            <w:tcW w:type="dxa" w:w="3600"/>
            <w:tcMar>
              <w:top w:w="100" w:type="dxa"/>
              <w:start w:w="120" w:type="dxa"/>
              <w:bottom w:w="100" w:type="dxa"/>
              <w:end w:w="120" w:type="dxa"/>
            </w:tcMar>
            <w:vAlign w:val="center"/>
            <w:shd w:fill="EEF2F6"/>
          </w:tcPr>
          <w:p>
            <w:pPr>
              <w:jc w:val="left"/>
            </w:pPr>
            <w:r>
              <w:rPr>
                <w:sz w:val="17"/>
              </w:rPr>
              <w:t>Introductions and local credibility</w:t>
            </w:r>
          </w:p>
        </w:tc>
        <w:tc>
          <w:tcPr>
            <w:tcW w:type="dxa" w:w="2592"/>
            <w:tcMar>
              <w:top w:w="100" w:type="dxa"/>
              <w:start w:w="120" w:type="dxa"/>
              <w:bottom w:w="100" w:type="dxa"/>
              <w:end w:w="120" w:type="dxa"/>
            </w:tcMar>
            <w:vAlign w:val="center"/>
            <w:shd w:fill="EEF2F6"/>
          </w:tcPr>
          <w:p>
            <w:pPr>
              <w:jc w:val="left"/>
            </w:pPr>
            <w:r>
              <w:rPr>
                <w:sz w:val="17"/>
              </w:rPr>
              <w:t>Permissioned introductions</w:t>
            </w:r>
          </w:p>
        </w:tc>
      </w:tr>
      <w:tr>
        <w:tc>
          <w:tcPr>
            <w:tcW w:type="dxa" w:w="2088"/>
            <w:tcMar>
              <w:top w:w="100" w:type="dxa"/>
              <w:start w:w="120" w:type="dxa"/>
              <w:bottom w:w="100" w:type="dxa"/>
              <w:end w:w="120" w:type="dxa"/>
            </w:tcMar>
            <w:vAlign w:val="center"/>
          </w:tcPr>
          <w:p>
            <w:pPr>
              <w:jc w:val="center"/>
            </w:pPr>
            <w:r>
              <w:rPr>
                <w:sz w:val="17"/>
              </w:rPr>
              <w:t>Local content</w:t>
            </w:r>
          </w:p>
        </w:tc>
        <w:tc>
          <w:tcPr>
            <w:tcW w:type="dxa" w:w="1512"/>
            <w:tcMar>
              <w:top w:w="100" w:type="dxa"/>
              <w:start w:w="120" w:type="dxa"/>
              <w:bottom w:w="100" w:type="dxa"/>
              <w:end w:w="120" w:type="dxa"/>
            </w:tcMar>
            <w:vAlign w:val="center"/>
          </w:tcPr>
          <w:p>
            <w:pPr>
              <w:jc w:val="left"/>
            </w:pPr>
            <w:r>
              <w:rPr>
                <w:sz w:val="17"/>
              </w:rPr>
              <w:t>Low</w:t>
            </w:r>
          </w:p>
        </w:tc>
        <w:tc>
          <w:tcPr>
            <w:tcW w:type="dxa" w:w="3600"/>
            <w:tcMar>
              <w:top w:w="100" w:type="dxa"/>
              <w:start w:w="120" w:type="dxa"/>
              <w:bottom w:w="100" w:type="dxa"/>
              <w:end w:w="120" w:type="dxa"/>
            </w:tcMar>
            <w:vAlign w:val="center"/>
          </w:tcPr>
          <w:p>
            <w:pPr>
              <w:jc w:val="left"/>
            </w:pPr>
            <w:r>
              <w:rPr>
                <w:sz w:val="17"/>
              </w:rPr>
              <w:t>Inbound questions over time</w:t>
            </w:r>
          </w:p>
        </w:tc>
        <w:tc>
          <w:tcPr>
            <w:tcW w:type="dxa" w:w="2592"/>
            <w:tcMar>
              <w:top w:w="100" w:type="dxa"/>
              <w:start w:w="120" w:type="dxa"/>
              <w:bottom w:w="100" w:type="dxa"/>
              <w:end w:w="120" w:type="dxa"/>
            </w:tcMar>
            <w:vAlign w:val="center"/>
          </w:tcPr>
          <w:p>
            <w:pPr>
              <w:jc w:val="left"/>
            </w:pPr>
            <w:r>
              <w:rPr>
                <w:sz w:val="17"/>
              </w:rPr>
              <w:t>Qualified inquiries</w:t>
            </w:r>
          </w:p>
        </w:tc>
      </w:tr>
      <w:tr>
        <w:tc>
          <w:tcPr>
            <w:tcW w:type="dxa" w:w="2088"/>
            <w:tcMar>
              <w:top w:w="100" w:type="dxa"/>
              <w:start w:w="120" w:type="dxa"/>
              <w:bottom w:w="100" w:type="dxa"/>
              <w:end w:w="120" w:type="dxa"/>
            </w:tcMar>
            <w:vAlign w:val="center"/>
            <w:shd w:fill="EEF2F6"/>
          </w:tcPr>
          <w:p>
            <w:pPr>
              <w:jc w:val="center"/>
            </w:pPr>
            <w:r>
              <w:rPr>
                <w:sz w:val="17"/>
              </w:rPr>
              <w:t>Direct mail</w:t>
            </w:r>
          </w:p>
        </w:tc>
        <w:tc>
          <w:tcPr>
            <w:tcW w:type="dxa" w:w="1512"/>
            <w:tcMar>
              <w:top w:w="100" w:type="dxa"/>
              <w:start w:w="120" w:type="dxa"/>
              <w:bottom w:w="100" w:type="dxa"/>
              <w:end w:w="120" w:type="dxa"/>
            </w:tcMar>
            <w:vAlign w:val="center"/>
            <w:shd w:fill="EEF2F6"/>
          </w:tcPr>
          <w:p>
            <w:pPr>
              <w:jc w:val="left"/>
            </w:pPr>
            <w:r>
              <w:rPr>
                <w:sz w:val="17"/>
              </w:rPr>
              <w:t>Moderate</w:t>
            </w:r>
          </w:p>
        </w:tc>
        <w:tc>
          <w:tcPr>
            <w:tcW w:type="dxa" w:w="3600"/>
            <w:tcMar>
              <w:top w:w="100" w:type="dxa"/>
              <w:start w:w="120" w:type="dxa"/>
              <w:bottom w:w="100" w:type="dxa"/>
              <w:end w:w="120" w:type="dxa"/>
            </w:tcMar>
            <w:vAlign w:val="center"/>
            <w:shd w:fill="EEF2F6"/>
          </w:tcPr>
          <w:p>
            <w:pPr>
              <w:jc w:val="left"/>
            </w:pPr>
            <w:r>
              <w:rPr>
                <w:sz w:val="17"/>
              </w:rPr>
              <w:t>Targeted permitted outreach</w:t>
            </w:r>
          </w:p>
        </w:tc>
        <w:tc>
          <w:tcPr>
            <w:tcW w:type="dxa" w:w="2592"/>
            <w:tcMar>
              <w:top w:w="100" w:type="dxa"/>
              <w:start w:w="120" w:type="dxa"/>
              <w:bottom w:w="100" w:type="dxa"/>
              <w:end w:w="120" w:type="dxa"/>
            </w:tcMar>
            <w:vAlign w:val="center"/>
            <w:shd w:fill="EEF2F6"/>
          </w:tcPr>
          <w:p>
            <w:pPr>
              <w:jc w:val="left"/>
            </w:pPr>
            <w:r>
              <w:rPr>
                <w:sz w:val="17"/>
              </w:rPr>
              <w:t>Response and appointment rate</w:t>
            </w:r>
          </w:p>
        </w:tc>
      </w:tr>
      <w:tr>
        <w:tc>
          <w:tcPr>
            <w:tcW w:type="dxa" w:w="2088"/>
            <w:tcMar>
              <w:top w:w="100" w:type="dxa"/>
              <w:start w:w="120" w:type="dxa"/>
              <w:bottom w:w="100" w:type="dxa"/>
              <w:end w:w="120" w:type="dxa"/>
            </w:tcMar>
            <w:vAlign w:val="center"/>
          </w:tcPr>
          <w:p>
            <w:pPr>
              <w:jc w:val="center"/>
            </w:pPr>
            <w:r>
              <w:rPr>
                <w:sz w:val="17"/>
              </w:rPr>
              <w:t>Approved digital campaigns</w:t>
            </w:r>
          </w:p>
        </w:tc>
        <w:tc>
          <w:tcPr>
            <w:tcW w:type="dxa" w:w="1512"/>
            <w:tcMar>
              <w:top w:w="100" w:type="dxa"/>
              <w:start w:w="120" w:type="dxa"/>
              <w:bottom w:w="100" w:type="dxa"/>
              <w:end w:w="120" w:type="dxa"/>
            </w:tcMar>
            <w:vAlign w:val="center"/>
          </w:tcPr>
          <w:p>
            <w:pPr>
              <w:jc w:val="left"/>
            </w:pPr>
            <w:r>
              <w:rPr>
                <w:sz w:val="17"/>
              </w:rPr>
              <w:t>Moderate</w:t>
            </w:r>
          </w:p>
        </w:tc>
        <w:tc>
          <w:tcPr>
            <w:tcW w:type="dxa" w:w="3600"/>
            <w:tcMar>
              <w:top w:w="100" w:type="dxa"/>
              <w:start w:w="120" w:type="dxa"/>
              <w:bottom w:w="100" w:type="dxa"/>
              <w:end w:w="120" w:type="dxa"/>
            </w:tcMar>
            <w:vAlign w:val="center"/>
          </w:tcPr>
          <w:p>
            <w:pPr>
              <w:jc w:val="left"/>
            </w:pPr>
            <w:r>
              <w:rPr>
                <w:sz w:val="17"/>
              </w:rPr>
              <w:t>Inbound form or call</w:t>
            </w:r>
          </w:p>
        </w:tc>
        <w:tc>
          <w:tcPr>
            <w:tcW w:type="dxa" w:w="2592"/>
            <w:tcMar>
              <w:top w:w="100" w:type="dxa"/>
              <w:start w:w="120" w:type="dxa"/>
              <w:bottom w:w="100" w:type="dxa"/>
              <w:end w:w="120" w:type="dxa"/>
            </w:tcMar>
            <w:vAlign w:val="center"/>
          </w:tcPr>
          <w:p>
            <w:pPr>
              <w:jc w:val="left"/>
            </w:pPr>
            <w:r>
              <w:rPr>
                <w:sz w:val="17"/>
              </w:rPr>
              <w:t>Cost per permissioned lead</w:t>
            </w:r>
          </w:p>
        </w:tc>
      </w:tr>
      <w:tr>
        <w:tc>
          <w:tcPr>
            <w:tcW w:type="dxa" w:w="2088"/>
            <w:tcMar>
              <w:top w:w="100" w:type="dxa"/>
              <w:start w:w="120" w:type="dxa"/>
              <w:bottom w:w="100" w:type="dxa"/>
              <w:end w:w="120" w:type="dxa"/>
            </w:tcMar>
            <w:vAlign w:val="center"/>
            <w:shd w:fill="EEF2F6"/>
          </w:tcPr>
          <w:p>
            <w:pPr>
              <w:jc w:val="center"/>
            </w:pPr>
            <w:r>
              <w:rPr>
                <w:sz w:val="17"/>
              </w:rPr>
              <w:t>Purchased leads</w:t>
            </w:r>
          </w:p>
        </w:tc>
        <w:tc>
          <w:tcPr>
            <w:tcW w:type="dxa" w:w="1512"/>
            <w:tcMar>
              <w:top w:w="100" w:type="dxa"/>
              <w:start w:w="120" w:type="dxa"/>
              <w:bottom w:w="100" w:type="dxa"/>
              <w:end w:w="120" w:type="dxa"/>
            </w:tcMar>
            <w:vAlign w:val="center"/>
            <w:shd w:fill="EEF2F6"/>
          </w:tcPr>
          <w:p>
            <w:pPr>
              <w:jc w:val="left"/>
            </w:pPr>
            <w:r>
              <w:rPr>
                <w:sz w:val="17"/>
              </w:rPr>
              <w:t>Moderate to high</w:t>
            </w:r>
          </w:p>
        </w:tc>
        <w:tc>
          <w:tcPr>
            <w:tcW w:type="dxa" w:w="3600"/>
            <w:tcMar>
              <w:top w:w="100" w:type="dxa"/>
              <w:start w:w="120" w:type="dxa"/>
              <w:bottom w:w="100" w:type="dxa"/>
              <w:end w:w="120" w:type="dxa"/>
            </w:tcMar>
            <w:vAlign w:val="center"/>
            <w:shd w:fill="EEF2F6"/>
          </w:tcPr>
          <w:p>
            <w:pPr>
              <w:jc w:val="left"/>
            </w:pPr>
            <w:r>
              <w:rPr>
                <w:sz w:val="17"/>
              </w:rPr>
              <w:t>Faster volume with variable quality</w:t>
            </w:r>
          </w:p>
        </w:tc>
        <w:tc>
          <w:tcPr>
            <w:tcW w:type="dxa" w:w="2592"/>
            <w:tcMar>
              <w:top w:w="100" w:type="dxa"/>
              <w:start w:w="120" w:type="dxa"/>
              <w:bottom w:w="100" w:type="dxa"/>
              <w:end w:w="120" w:type="dxa"/>
            </w:tcMar>
            <w:vAlign w:val="center"/>
            <w:shd w:fill="EEF2F6"/>
          </w:tcPr>
          <w:p>
            <w:pPr>
              <w:jc w:val="left"/>
            </w:pPr>
            <w:r>
              <w:rPr>
                <w:sz w:val="17"/>
              </w:rPr>
              <w:t>Contact appointment and enrollment rates</w:t>
            </w:r>
          </w:p>
        </w:tc>
      </w:tr>
    </w:tbl>
    <w:p>
      <w:pPr>
        <w:spacing w:after="0"/>
      </w:pPr>
    </w:p>
    <w:p>
      <w:pPr>
        <w:pStyle w:val="Heading2"/>
      </w:pPr>
      <w:r>
        <w:t>Weekly Lead Rhythm</w:t>
      </w:r>
    </w:p>
    <w:p>
      <w:pPr>
        <w:pStyle w:val="ListBullet"/>
      </w:pPr>
      <w:r>
        <w:t>Run one community or relationship-building activity.</w:t>
      </w:r>
    </w:p>
    <w:p>
      <w:pPr>
        <w:pStyle w:val="ListBullet"/>
      </w:pPr>
      <w:r>
        <w:t>Publish one useful local Medicare explanation with an approved contact path.</w:t>
      </w:r>
    </w:p>
    <w:p>
      <w:pPr>
        <w:pStyle w:val="ListBullet"/>
      </w:pPr>
      <w:r>
        <w:t>Follow up only where permission and current rules allow.</w:t>
      </w:r>
    </w:p>
    <w:p>
      <w:pPr>
        <w:pStyle w:val="ListBullet"/>
      </w:pPr>
      <w:r>
        <w:t>Review stalled opportunities and schedule the correct next action.</w:t>
      </w:r>
    </w:p>
    <w:p>
      <w:pPr>
        <w:pStyle w:val="ListBullet"/>
      </w:pPr>
      <w:r>
        <w:t>Compare lead sources by appointments and enrollments, not by raw names.</w:t>
      </w:r>
    </w:p>
    <w:p>
      <w:r>
        <w:br w:type="page"/>
      </w:r>
    </w:p>
    <w:p>
      <w:pPr>
        <w:pStyle w:val="Heading1"/>
      </w:pPr>
      <w:r>
        <w:t>Rise Above the Competition</w:t>
      </w:r>
    </w:p>
    <w:p>
      <w:pPr>
        <w:pStyle w:val="Intro"/>
      </w:pPr>
      <w:r>
        <w:t>Organization becomes visible to the client as preparation, speed, accuracy, and dependable service.</w:t>
      </w:r>
    </w:p>
    <w:p>
      <w:pPr>
        <w:pStyle w:val="Heading2"/>
      </w:pPr>
      <w:r>
        <w:t>Choose a Useful Position</w:t>
      </w:r>
    </w:p>
    <w:p>
      <w:r>
        <w:t>Start with a manageable service area and a clear reason for beneficiaries or referral partners to remember the agency. The position may be local availability, patient explanations, benefit-review discipline, service for a defined community, or accessible appointment options. Avoid promises of savings or plan superiority that cannot be supported.</w:t>
      </w:r>
    </w:p>
    <w:p>
      <w:pPr>
        <w:pStyle w:val="Heading2"/>
      </w:pPr>
      <w:r>
        <w:t>Build Proof Through Service</w:t>
      </w:r>
    </w:p>
    <w:p>
      <w:pPr>
        <w:ind w:left="173" w:hanging="173"/>
      </w:pPr>
      <w:r>
        <w:rPr>
          <w:b/>
        </w:rPr>
        <w:t xml:space="preserve">[ ] </w:t>
      </w:r>
      <w:r>
        <w:t>Respond promptly and record the promised next step.</w:t>
      </w:r>
    </w:p>
    <w:p>
      <w:pPr>
        <w:ind w:left="173" w:hanging="173"/>
      </w:pPr>
      <w:r>
        <w:rPr>
          <w:b/>
        </w:rPr>
        <w:t xml:space="preserve">[ ] </w:t>
      </w:r>
      <w:r>
        <w:t>Prepare provider, pharmacy, drug, eligibility, and financial questions before the appointment.</w:t>
      </w:r>
    </w:p>
    <w:p>
      <w:pPr>
        <w:ind w:left="173" w:hanging="173"/>
      </w:pPr>
      <w:r>
        <w:rPr>
          <w:b/>
        </w:rPr>
        <w:t xml:space="preserve">[ ] </w:t>
      </w:r>
      <w:r>
        <w:t>Explain tradeoffs accurately and document the beneficiary's priorities.</w:t>
      </w:r>
    </w:p>
    <w:p>
      <w:pPr>
        <w:ind w:left="173" w:hanging="173"/>
      </w:pPr>
      <w:r>
        <w:rPr>
          <w:b/>
        </w:rPr>
        <w:t xml:space="preserve">[ ] </w:t>
      </w:r>
      <w:r>
        <w:t>Confirm application status and effective date.</w:t>
      </w:r>
    </w:p>
    <w:p>
      <w:pPr>
        <w:ind w:left="173" w:hanging="173"/>
      </w:pPr>
      <w:r>
        <w:rPr>
          <w:b/>
        </w:rPr>
        <w:t xml:space="preserve">[ ] </w:t>
      </w:r>
      <w:r>
        <w:t>Schedule an early follow-up and an annual review.</w:t>
      </w:r>
    </w:p>
    <w:p>
      <w:pPr>
        <w:pStyle w:val="Heading2"/>
      </w:pPr>
      <w:r>
        <w:t>Use a Simple Scoreboard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3168"/>
            <w:shd w:fill="667A93"/>
            <w:tcMar>
              <w:top w:w="100" w:type="dxa"/>
              <w:start w:w="120" w:type="dxa"/>
              <w:bottom w:w="100" w:type="dxa"/>
              <w:end w:w="120" w:type="dxa"/>
            </w:tcMar>
            <w:vAlign w:val="center"/>
          </w:tcPr>
          <w:p>
            <w:pPr>
              <w:jc w:val="center"/>
            </w:pPr>
            <w:r>
              <w:rPr>
                <w:b/>
                <w:color w:val="FFFFFF"/>
                <w:sz w:val="18"/>
              </w:rPr>
              <w:t>Measure</w:t>
            </w:r>
          </w:p>
        </w:tc>
        <w:tc>
          <w:tcPr>
            <w:tcW w:type="dxa" w:w="6624"/>
            <w:shd w:fill="667A93"/>
            <w:tcMar>
              <w:top w:w="100" w:type="dxa"/>
              <w:start w:w="120" w:type="dxa"/>
              <w:bottom w:w="100" w:type="dxa"/>
              <w:end w:w="120" w:type="dxa"/>
            </w:tcMar>
            <w:vAlign w:val="center"/>
          </w:tcPr>
          <w:p>
            <w:pPr>
              <w:jc w:val="center"/>
            </w:pPr>
            <w:r>
              <w:rPr>
                <w:b/>
                <w:color w:val="FFFFFF"/>
                <w:sz w:val="18"/>
              </w:rPr>
              <w:t>Weekly Question</w:t>
            </w:r>
          </w:p>
        </w:tc>
      </w:tr>
      <w:tr>
        <w:tc>
          <w:tcPr>
            <w:tcW w:type="dxa" w:w="3168"/>
            <w:tcMar>
              <w:top w:w="100" w:type="dxa"/>
              <w:start w:w="120" w:type="dxa"/>
              <w:bottom w:w="100" w:type="dxa"/>
              <w:end w:w="120" w:type="dxa"/>
            </w:tcMar>
            <w:vAlign w:val="center"/>
          </w:tcPr>
          <w:p>
            <w:pPr>
              <w:jc w:val="center"/>
            </w:pPr>
            <w:r>
              <w:rPr>
                <w:sz w:val="17"/>
              </w:rPr>
              <w:t>New permissioned leads</w:t>
            </w:r>
          </w:p>
        </w:tc>
        <w:tc>
          <w:tcPr>
            <w:tcW w:type="dxa" w:w="6624"/>
            <w:tcMar>
              <w:top w:w="100" w:type="dxa"/>
              <w:start w:w="120" w:type="dxa"/>
              <w:bottom w:w="100" w:type="dxa"/>
              <w:end w:w="120" w:type="dxa"/>
            </w:tcMar>
            <w:vAlign w:val="center"/>
          </w:tcPr>
          <w:p>
            <w:pPr>
              <w:jc w:val="left"/>
            </w:pPr>
            <w:r>
              <w:rPr>
                <w:sz w:val="17"/>
              </w:rPr>
              <w:t>How many people asked to be contacted?</w:t>
            </w:r>
          </w:p>
        </w:tc>
      </w:tr>
      <w:tr>
        <w:tc>
          <w:tcPr>
            <w:tcW w:type="dxa" w:w="3168"/>
            <w:tcMar>
              <w:top w:w="100" w:type="dxa"/>
              <w:start w:w="120" w:type="dxa"/>
              <w:bottom w:w="100" w:type="dxa"/>
              <w:end w:w="120" w:type="dxa"/>
            </w:tcMar>
            <w:vAlign w:val="center"/>
            <w:shd w:fill="EEF2F6"/>
          </w:tcPr>
          <w:p>
            <w:pPr>
              <w:jc w:val="center"/>
            </w:pPr>
            <w:r>
              <w:rPr>
                <w:sz w:val="17"/>
              </w:rPr>
              <w:t>Contact rate</w:t>
            </w:r>
          </w:p>
        </w:tc>
        <w:tc>
          <w:tcPr>
            <w:tcW w:type="dxa" w:w="6624"/>
            <w:tcMar>
              <w:top w:w="100" w:type="dxa"/>
              <w:start w:w="120" w:type="dxa"/>
              <w:bottom w:w="100" w:type="dxa"/>
              <w:end w:w="120" w:type="dxa"/>
            </w:tcMar>
            <w:vAlign w:val="center"/>
            <w:shd w:fill="EEF2F6"/>
          </w:tcPr>
          <w:p>
            <w:pPr>
              <w:jc w:val="left"/>
            </w:pPr>
            <w:r>
              <w:rPr>
                <w:sz w:val="17"/>
              </w:rPr>
              <w:t>How many permissioned leads were reached?</w:t>
            </w:r>
          </w:p>
        </w:tc>
      </w:tr>
      <w:tr>
        <w:tc>
          <w:tcPr>
            <w:tcW w:type="dxa" w:w="3168"/>
            <w:tcMar>
              <w:top w:w="100" w:type="dxa"/>
              <w:start w:w="120" w:type="dxa"/>
              <w:bottom w:w="100" w:type="dxa"/>
              <w:end w:w="120" w:type="dxa"/>
            </w:tcMar>
            <w:vAlign w:val="center"/>
          </w:tcPr>
          <w:p>
            <w:pPr>
              <w:jc w:val="center"/>
            </w:pPr>
            <w:r>
              <w:rPr>
                <w:sz w:val="17"/>
              </w:rPr>
              <w:t>Appointment rate</w:t>
            </w:r>
          </w:p>
        </w:tc>
        <w:tc>
          <w:tcPr>
            <w:tcW w:type="dxa" w:w="6624"/>
            <w:tcMar>
              <w:top w:w="100" w:type="dxa"/>
              <w:start w:w="120" w:type="dxa"/>
              <w:bottom w:w="100" w:type="dxa"/>
              <w:end w:w="120" w:type="dxa"/>
            </w:tcMar>
            <w:vAlign w:val="center"/>
          </w:tcPr>
          <w:p>
            <w:pPr>
              <w:jc w:val="left"/>
            </w:pPr>
            <w:r>
              <w:rPr>
                <w:sz w:val="17"/>
              </w:rPr>
              <w:t>How many reached leads scheduled?</w:t>
            </w:r>
          </w:p>
        </w:tc>
      </w:tr>
      <w:tr>
        <w:tc>
          <w:tcPr>
            <w:tcW w:type="dxa" w:w="3168"/>
            <w:tcMar>
              <w:top w:w="100" w:type="dxa"/>
              <w:start w:w="120" w:type="dxa"/>
              <w:bottom w:w="100" w:type="dxa"/>
              <w:end w:w="120" w:type="dxa"/>
            </w:tcMar>
            <w:vAlign w:val="center"/>
            <w:shd w:fill="EEF2F6"/>
          </w:tcPr>
          <w:p>
            <w:pPr>
              <w:jc w:val="center"/>
            </w:pPr>
            <w:r>
              <w:rPr>
                <w:sz w:val="17"/>
              </w:rPr>
              <w:t>Enrollment rate</w:t>
            </w:r>
          </w:p>
        </w:tc>
        <w:tc>
          <w:tcPr>
            <w:tcW w:type="dxa" w:w="6624"/>
            <w:tcMar>
              <w:top w:w="100" w:type="dxa"/>
              <w:start w:w="120" w:type="dxa"/>
              <w:bottom w:w="100" w:type="dxa"/>
              <w:end w:w="120" w:type="dxa"/>
            </w:tcMar>
            <w:vAlign w:val="center"/>
            <w:shd w:fill="EEF2F6"/>
          </w:tcPr>
          <w:p>
            <w:pPr>
              <w:jc w:val="left"/>
            </w:pPr>
            <w:r>
              <w:rPr>
                <w:sz w:val="17"/>
              </w:rPr>
              <w:t>How many completed an appropriate enrollment?</w:t>
            </w:r>
          </w:p>
        </w:tc>
      </w:tr>
      <w:tr>
        <w:tc>
          <w:tcPr>
            <w:tcW w:type="dxa" w:w="3168"/>
            <w:tcMar>
              <w:top w:w="100" w:type="dxa"/>
              <w:start w:w="120" w:type="dxa"/>
              <w:bottom w:w="100" w:type="dxa"/>
              <w:end w:w="120" w:type="dxa"/>
            </w:tcMar>
            <w:vAlign w:val="center"/>
          </w:tcPr>
          <w:p>
            <w:pPr>
              <w:jc w:val="center"/>
            </w:pPr>
            <w:r>
              <w:rPr>
                <w:sz w:val="17"/>
              </w:rPr>
              <w:t>Cost per enrollment</w:t>
            </w:r>
          </w:p>
        </w:tc>
        <w:tc>
          <w:tcPr>
            <w:tcW w:type="dxa" w:w="6624"/>
            <w:tcMar>
              <w:top w:w="100" w:type="dxa"/>
              <w:start w:w="120" w:type="dxa"/>
              <w:bottom w:w="100" w:type="dxa"/>
              <w:end w:w="120" w:type="dxa"/>
            </w:tcMar>
            <w:vAlign w:val="center"/>
          </w:tcPr>
          <w:p>
            <w:pPr>
              <w:jc w:val="left"/>
            </w:pPr>
            <w:r>
              <w:rPr>
                <w:sz w:val="17"/>
              </w:rPr>
              <w:t>Which source produced the result at a sustainable cost?</w:t>
            </w:r>
          </w:p>
        </w:tc>
      </w:tr>
      <w:tr>
        <w:tc>
          <w:tcPr>
            <w:tcW w:type="dxa" w:w="3168"/>
            <w:tcMar>
              <w:top w:w="100" w:type="dxa"/>
              <w:start w:w="120" w:type="dxa"/>
              <w:bottom w:w="100" w:type="dxa"/>
              <w:end w:w="120" w:type="dxa"/>
            </w:tcMar>
            <w:vAlign w:val="center"/>
            <w:shd w:fill="EEF2F6"/>
          </w:tcPr>
          <w:p>
            <w:pPr>
              <w:jc w:val="center"/>
            </w:pPr>
            <w:r>
              <w:rPr>
                <w:sz w:val="17"/>
              </w:rPr>
              <w:t>Follow-up completion</w:t>
            </w:r>
          </w:p>
        </w:tc>
        <w:tc>
          <w:tcPr>
            <w:tcW w:type="dxa" w:w="6624"/>
            <w:tcMar>
              <w:top w:w="100" w:type="dxa"/>
              <w:start w:w="120" w:type="dxa"/>
              <w:bottom w:w="100" w:type="dxa"/>
              <w:end w:w="120" w:type="dxa"/>
            </w:tcMar>
            <w:vAlign w:val="center"/>
            <w:shd w:fill="EEF2F6"/>
          </w:tcPr>
          <w:p>
            <w:pPr>
              <w:jc w:val="left"/>
            </w:pPr>
            <w:r>
              <w:rPr>
                <w:sz w:val="17"/>
              </w:rPr>
              <w:t>Were promised actions completed on time?</w:t>
            </w:r>
          </w:p>
        </w:tc>
      </w:tr>
    </w:tbl>
    <w:p>
      <w:pPr>
        <w:spacing w:after="0"/>
      </w:pPr>
    </w:p>
    <w:p>
      <w:r>
        <w:br w:type="page"/>
      </w:r>
    </w:p>
    <w:p>
      <w:pPr>
        <w:pStyle w:val="Heading1"/>
      </w:pPr>
      <w:r>
        <w:t>Manage Opportunities With Agent Rise</w:t>
      </w:r>
    </w:p>
    <w:p>
      <w:pPr>
        <w:pStyle w:val="Intro"/>
      </w:pPr>
      <w:r>
        <w:t>Agent Rise gives each contact a defined place, source, permission record, status, and next action.</w:t>
      </w:r>
    </w:p>
    <w:p>
      <w:pPr>
        <w:pStyle w:val="Heading2"/>
      </w:pPr>
      <w:r>
        <w:t>Contact Intake</w:t>
      </w:r>
    </w:p>
    <w:p>
      <w:pPr>
        <w:pStyle w:val="ListBullet"/>
      </w:pPr>
      <w:r>
        <w:t>Import or enter the contact without automatically treating the person as an insurance prospect.</w:t>
      </w:r>
    </w:p>
    <w:p>
      <w:pPr>
        <w:pStyle w:val="ListBullet"/>
      </w:pPr>
      <w:r>
        <w:t>Compare duplicate phone numbers and email addresses side by side before keeping, replacing, or merging information.</w:t>
      </w:r>
    </w:p>
    <w:p>
      <w:pPr>
        <w:pStyle w:val="ListBullet"/>
      </w:pPr>
      <w:r>
        <w:t>Record lead source, date received, requested contact channel, permission status, products of interest, state, and county.</w:t>
      </w:r>
    </w:p>
    <w:p>
      <w:pPr>
        <w:pStyle w:val="ListBullet"/>
      </w:pPr>
      <w:r>
        <w:t>Keep non-insurance contacts available as Resource Contacts for appropriate future grouping or export.</w:t>
      </w:r>
    </w:p>
    <w:p>
      <w:pPr>
        <w:pStyle w:val="Heading2"/>
      </w:pPr>
      <w:r>
        <w:t>Client Journey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520"/>
            <w:shd w:fill="667A93"/>
            <w:tcMar>
              <w:top w:w="100" w:type="dxa"/>
              <w:start w:w="120" w:type="dxa"/>
              <w:bottom w:w="100" w:type="dxa"/>
              <w:end w:w="120" w:type="dxa"/>
            </w:tcMar>
            <w:vAlign w:val="center"/>
          </w:tcPr>
          <w:p>
            <w:pPr>
              <w:jc w:val="center"/>
            </w:pPr>
            <w:r>
              <w:rPr>
                <w:b/>
                <w:color w:val="FFFFFF"/>
                <w:sz w:val="18"/>
              </w:rPr>
              <w:t>Stage</w:t>
            </w:r>
          </w:p>
        </w:tc>
        <w:tc>
          <w:tcPr>
            <w:tcW w:type="dxa" w:w="7272"/>
            <w:shd w:fill="667A93"/>
            <w:tcMar>
              <w:top w:w="100" w:type="dxa"/>
              <w:start w:w="120" w:type="dxa"/>
              <w:bottom w:w="100" w:type="dxa"/>
              <w:end w:w="120" w:type="dxa"/>
            </w:tcMar>
            <w:vAlign w:val="center"/>
          </w:tcPr>
          <w:p>
            <w:pPr>
              <w:jc w:val="center"/>
            </w:pPr>
            <w:r>
              <w:rPr>
                <w:b/>
                <w:color w:val="FFFFFF"/>
                <w:sz w:val="18"/>
              </w:rPr>
              <w:t>Required Control</w:t>
            </w:r>
          </w:p>
        </w:tc>
      </w:tr>
      <w:tr>
        <w:tc>
          <w:tcPr>
            <w:tcW w:type="dxa" w:w="2520"/>
            <w:tcMar>
              <w:top w:w="100" w:type="dxa"/>
              <w:start w:w="120" w:type="dxa"/>
              <w:bottom w:w="100" w:type="dxa"/>
              <w:end w:w="120" w:type="dxa"/>
            </w:tcMar>
            <w:vAlign w:val="center"/>
          </w:tcPr>
          <w:p>
            <w:pPr>
              <w:jc w:val="center"/>
            </w:pPr>
            <w:r>
              <w:rPr>
                <w:sz w:val="17"/>
              </w:rPr>
              <w:t>New lead</w:t>
            </w:r>
          </w:p>
        </w:tc>
        <w:tc>
          <w:tcPr>
            <w:tcW w:type="dxa" w:w="7272"/>
            <w:tcMar>
              <w:top w:w="100" w:type="dxa"/>
              <w:start w:w="120" w:type="dxa"/>
              <w:bottom w:w="100" w:type="dxa"/>
              <w:end w:w="120" w:type="dxa"/>
            </w:tcMar>
            <w:vAlign w:val="center"/>
          </w:tcPr>
          <w:p>
            <w:pPr>
              <w:jc w:val="left"/>
            </w:pPr>
            <w:r>
              <w:rPr>
                <w:sz w:val="17"/>
              </w:rPr>
              <w:t>Confirm source and permission before outreach.</w:t>
            </w:r>
          </w:p>
        </w:tc>
      </w:tr>
      <w:tr>
        <w:tc>
          <w:tcPr>
            <w:tcW w:type="dxa" w:w="2520"/>
            <w:tcMar>
              <w:top w:w="100" w:type="dxa"/>
              <w:start w:w="120" w:type="dxa"/>
              <w:bottom w:w="100" w:type="dxa"/>
              <w:end w:w="120" w:type="dxa"/>
            </w:tcMar>
            <w:vAlign w:val="center"/>
            <w:shd w:fill="EEF2F6"/>
          </w:tcPr>
          <w:p>
            <w:pPr>
              <w:jc w:val="center"/>
            </w:pPr>
            <w:r>
              <w:rPr>
                <w:sz w:val="17"/>
              </w:rPr>
              <w:t>Qualified</w:t>
            </w:r>
          </w:p>
        </w:tc>
        <w:tc>
          <w:tcPr>
            <w:tcW w:type="dxa" w:w="7272"/>
            <w:tcMar>
              <w:top w:w="100" w:type="dxa"/>
              <w:start w:w="120" w:type="dxa"/>
              <w:bottom w:w="100" w:type="dxa"/>
              <w:end w:w="120" w:type="dxa"/>
            </w:tcMar>
            <w:vAlign w:val="center"/>
            <w:shd w:fill="EEF2F6"/>
          </w:tcPr>
          <w:p>
            <w:pPr>
              <w:jc w:val="left"/>
            </w:pPr>
            <w:r>
              <w:rPr>
                <w:sz w:val="17"/>
              </w:rPr>
              <w:t>Record location, eligibility context, needs, and intended appointment type.</w:t>
            </w:r>
          </w:p>
        </w:tc>
      </w:tr>
      <w:tr>
        <w:tc>
          <w:tcPr>
            <w:tcW w:type="dxa" w:w="2520"/>
            <w:tcMar>
              <w:top w:w="100" w:type="dxa"/>
              <w:start w:w="120" w:type="dxa"/>
              <w:bottom w:w="100" w:type="dxa"/>
              <w:end w:w="120" w:type="dxa"/>
            </w:tcMar>
            <w:vAlign w:val="center"/>
          </w:tcPr>
          <w:p>
            <w:pPr>
              <w:jc w:val="center"/>
            </w:pPr>
            <w:r>
              <w:rPr>
                <w:sz w:val="17"/>
              </w:rPr>
              <w:t>Appointment scheduled</w:t>
            </w:r>
          </w:p>
        </w:tc>
        <w:tc>
          <w:tcPr>
            <w:tcW w:type="dxa" w:w="7272"/>
            <w:tcMar>
              <w:top w:w="100" w:type="dxa"/>
              <w:start w:w="120" w:type="dxa"/>
              <w:bottom w:w="100" w:type="dxa"/>
              <w:end w:w="120" w:type="dxa"/>
            </w:tcMar>
            <w:vAlign w:val="center"/>
          </w:tcPr>
          <w:p>
            <w:pPr>
              <w:jc w:val="left"/>
            </w:pPr>
            <w:r>
              <w:rPr>
                <w:sz w:val="17"/>
              </w:rPr>
              <w:t>Set preparation and reminder tasks.</w:t>
            </w:r>
          </w:p>
        </w:tc>
      </w:tr>
      <w:tr>
        <w:tc>
          <w:tcPr>
            <w:tcW w:type="dxa" w:w="2520"/>
            <w:tcMar>
              <w:top w:w="100" w:type="dxa"/>
              <w:start w:w="120" w:type="dxa"/>
              <w:bottom w:w="100" w:type="dxa"/>
              <w:end w:w="120" w:type="dxa"/>
            </w:tcMar>
            <w:vAlign w:val="center"/>
            <w:shd w:fill="EEF2F6"/>
          </w:tcPr>
          <w:p>
            <w:pPr>
              <w:jc w:val="center"/>
            </w:pPr>
            <w:r>
              <w:rPr>
                <w:sz w:val="17"/>
              </w:rPr>
              <w:t>Scope documented</w:t>
            </w:r>
          </w:p>
        </w:tc>
        <w:tc>
          <w:tcPr>
            <w:tcW w:type="dxa" w:w="7272"/>
            <w:tcMar>
              <w:top w:w="100" w:type="dxa"/>
              <w:start w:w="120" w:type="dxa"/>
              <w:bottom w:w="100" w:type="dxa"/>
              <w:end w:w="120" w:type="dxa"/>
            </w:tcMar>
            <w:vAlign w:val="center"/>
            <w:shd w:fill="EEF2F6"/>
          </w:tcPr>
          <w:p>
            <w:pPr>
              <w:jc w:val="left"/>
            </w:pPr>
            <w:r>
              <w:rPr>
                <w:sz w:val="17"/>
              </w:rPr>
              <w:t>Use the current plan-approved process before the personal marketing appointment.</w:t>
            </w:r>
          </w:p>
        </w:tc>
      </w:tr>
      <w:tr>
        <w:tc>
          <w:tcPr>
            <w:tcW w:type="dxa" w:w="2520"/>
            <w:tcMar>
              <w:top w:w="100" w:type="dxa"/>
              <w:start w:w="120" w:type="dxa"/>
              <w:bottom w:w="100" w:type="dxa"/>
              <w:end w:w="120" w:type="dxa"/>
            </w:tcMar>
            <w:vAlign w:val="center"/>
          </w:tcPr>
          <w:p>
            <w:pPr>
              <w:jc w:val="center"/>
            </w:pPr>
            <w:r>
              <w:rPr>
                <w:sz w:val="17"/>
              </w:rPr>
              <w:t>Needs reviewed</w:t>
            </w:r>
          </w:p>
        </w:tc>
        <w:tc>
          <w:tcPr>
            <w:tcW w:type="dxa" w:w="7272"/>
            <w:tcMar>
              <w:top w:w="100" w:type="dxa"/>
              <w:start w:w="120" w:type="dxa"/>
              <w:bottom w:w="100" w:type="dxa"/>
              <w:end w:w="120" w:type="dxa"/>
            </w:tcMar>
            <w:vAlign w:val="center"/>
          </w:tcPr>
          <w:p>
            <w:pPr>
              <w:jc w:val="left"/>
            </w:pPr>
            <w:r>
              <w:rPr>
                <w:sz w:val="17"/>
              </w:rPr>
              <w:t>Document priorities without recording unnecessary sensitive data.</w:t>
            </w:r>
          </w:p>
        </w:tc>
      </w:tr>
      <w:tr>
        <w:tc>
          <w:tcPr>
            <w:tcW w:type="dxa" w:w="2520"/>
            <w:tcMar>
              <w:top w:w="100" w:type="dxa"/>
              <w:start w:w="120" w:type="dxa"/>
              <w:bottom w:w="100" w:type="dxa"/>
              <w:end w:w="120" w:type="dxa"/>
            </w:tcMar>
            <w:vAlign w:val="center"/>
            <w:shd w:fill="EEF2F6"/>
          </w:tcPr>
          <w:p>
            <w:pPr>
              <w:jc w:val="center"/>
            </w:pPr>
            <w:r>
              <w:rPr>
                <w:sz w:val="17"/>
              </w:rPr>
              <w:t>Application submitted</w:t>
            </w:r>
          </w:p>
        </w:tc>
        <w:tc>
          <w:tcPr>
            <w:tcW w:type="dxa" w:w="7272"/>
            <w:tcMar>
              <w:top w:w="100" w:type="dxa"/>
              <w:start w:w="120" w:type="dxa"/>
              <w:bottom w:w="100" w:type="dxa"/>
              <w:end w:w="120" w:type="dxa"/>
            </w:tcMar>
            <w:vAlign w:val="center"/>
            <w:shd w:fill="EEF2F6"/>
          </w:tcPr>
          <w:p>
            <w:pPr>
              <w:jc w:val="left"/>
            </w:pPr>
            <w:r>
              <w:rPr>
                <w:sz w:val="17"/>
              </w:rPr>
              <w:t>Record carrier, confirmation, effective-date expectation, and follow-up.</w:t>
            </w:r>
          </w:p>
        </w:tc>
      </w:tr>
      <w:tr>
        <w:tc>
          <w:tcPr>
            <w:tcW w:type="dxa" w:w="2520"/>
            <w:tcMar>
              <w:top w:w="100" w:type="dxa"/>
              <w:start w:w="120" w:type="dxa"/>
              <w:bottom w:w="100" w:type="dxa"/>
              <w:end w:w="120" w:type="dxa"/>
            </w:tcMar>
            <w:vAlign w:val="center"/>
          </w:tcPr>
          <w:p>
            <w:pPr>
              <w:jc w:val="center"/>
            </w:pPr>
            <w:r>
              <w:rPr>
                <w:sz w:val="17"/>
              </w:rPr>
              <w:t>Enrolled</w:t>
            </w:r>
          </w:p>
        </w:tc>
        <w:tc>
          <w:tcPr>
            <w:tcW w:type="dxa" w:w="7272"/>
            <w:tcMar>
              <w:top w:w="100" w:type="dxa"/>
              <w:start w:w="120" w:type="dxa"/>
              <w:bottom w:w="100" w:type="dxa"/>
              <w:end w:w="120" w:type="dxa"/>
            </w:tcMar>
            <w:vAlign w:val="center"/>
          </w:tcPr>
          <w:p>
            <w:pPr>
              <w:jc w:val="left"/>
            </w:pPr>
            <w:r>
              <w:rPr>
                <w:sz w:val="17"/>
              </w:rPr>
              <w:t>Complete service follow-up and schedule annual review.</w:t>
            </w:r>
          </w:p>
        </w:tc>
      </w:tr>
    </w:tbl>
    <w:p>
      <w:pPr>
        <w:spacing w:after="0"/>
      </w:pPr>
    </w:p>
    <w:p>
      <w:r>
        <w:t>Removing a contact from a temporary Agent Rise import session does not delete the contact from the user's phone. Stalled leads should move to an appropriate future category with a lawful next-contact date rather than disappear.</w:t>
      </w:r>
    </w:p>
    <w:p>
      <w:r>
        <w:br w:type="page"/>
      </w:r>
    </w:p>
    <w:p>
      <w:pPr>
        <w:pStyle w:val="Heading1"/>
      </w:pPr>
      <w:r>
        <w:t>Move From Appointment to Annual Review</w:t>
      </w:r>
    </w:p>
    <w:p>
      <w:pPr>
        <w:pStyle w:val="Intro"/>
      </w:pPr>
      <w:r>
        <w:t>The sale is complete only when the application, effective date, client communication, records, and future service date are under control.</w:t>
      </w:r>
    </w:p>
    <w:p>
      <w:pPr>
        <w:pStyle w:val="Heading2"/>
      </w:pPr>
      <w:r>
        <w:t>Before the Appointment</w:t>
      </w:r>
    </w:p>
    <w:p>
      <w:pPr>
        <w:ind w:left="173" w:hanging="173"/>
      </w:pPr>
      <w:r>
        <w:rPr>
          <w:b/>
        </w:rPr>
        <w:t xml:space="preserve">[ ] </w:t>
      </w:r>
      <w:r>
        <w:t>Confirm ready-to-sell status for the product, carrier, state, and plan year.</w:t>
      </w:r>
    </w:p>
    <w:p>
      <w:pPr>
        <w:ind w:left="173" w:hanging="173"/>
      </w:pPr>
      <w:r>
        <w:rPr>
          <w:b/>
        </w:rPr>
        <w:t xml:space="preserve">[ ] </w:t>
      </w:r>
      <w:r>
        <w:t>Confirm the lawful contact record and current Scope of Appointment process.</w:t>
      </w:r>
    </w:p>
    <w:p>
      <w:pPr>
        <w:ind w:left="173" w:hanging="173"/>
      </w:pPr>
      <w:r>
        <w:rPr>
          <w:b/>
        </w:rPr>
        <w:t xml:space="preserve">[ ] </w:t>
      </w:r>
      <w:r>
        <w:t>Prepare the beneficiary's requested topics and comparison information.</w:t>
      </w:r>
    </w:p>
    <w:p>
      <w:pPr>
        <w:pStyle w:val="Heading2"/>
      </w:pPr>
      <w:r>
        <w:t>During the Appointment</w:t>
      </w:r>
    </w:p>
    <w:p>
      <w:pPr>
        <w:ind w:left="173" w:hanging="173"/>
      </w:pPr>
      <w:r>
        <w:rPr>
          <w:b/>
        </w:rPr>
        <w:t xml:space="preserve">[ ] </w:t>
      </w:r>
      <w:r>
        <w:t>Stay within the documented scope and current plan instructions.</w:t>
      </w:r>
    </w:p>
    <w:p>
      <w:pPr>
        <w:ind w:left="173" w:hanging="173"/>
      </w:pPr>
      <w:r>
        <w:rPr>
          <w:b/>
        </w:rPr>
        <w:t xml:space="preserve">[ ] </w:t>
      </w:r>
      <w:r>
        <w:t>Review needs, providers, pharmacies, medications, costs, travel, and service priorities as applicable.</w:t>
      </w:r>
    </w:p>
    <w:p>
      <w:pPr>
        <w:ind w:left="173" w:hanging="173"/>
      </w:pPr>
      <w:r>
        <w:rPr>
          <w:b/>
        </w:rPr>
        <w:t xml:space="preserve">[ ] </w:t>
      </w:r>
      <w:r>
        <w:t>Explain limitations and tradeoffs. Do not promise eligibility, savings, acceptance, or benefits that have not been confirmed.</w:t>
      </w:r>
    </w:p>
    <w:p>
      <w:pPr>
        <w:pStyle w:val="Heading2"/>
      </w:pPr>
      <w:r>
        <w:t>After the Appointment</w:t>
      </w:r>
    </w:p>
    <w:p>
      <w:pPr>
        <w:ind w:left="173" w:hanging="173"/>
      </w:pPr>
      <w:r>
        <w:rPr>
          <w:b/>
        </w:rPr>
        <w:t xml:space="preserve">[ ] </w:t>
      </w:r>
      <w:r>
        <w:t>Save confirmation information and required records securely.</w:t>
      </w:r>
    </w:p>
    <w:p>
      <w:pPr>
        <w:ind w:left="173" w:hanging="173"/>
      </w:pPr>
      <w:r>
        <w:rPr>
          <w:b/>
        </w:rPr>
        <w:t xml:space="preserve">[ ] </w:t>
      </w:r>
      <w:r>
        <w:t>Track pending items and effective-date expectations.</w:t>
      </w:r>
    </w:p>
    <w:p>
      <w:pPr>
        <w:ind w:left="173" w:hanging="173"/>
      </w:pPr>
      <w:r>
        <w:rPr>
          <w:b/>
        </w:rPr>
        <w:t xml:space="preserve">[ ] </w:t>
      </w:r>
      <w:r>
        <w:t>Complete the promised follow-up.</w:t>
      </w:r>
    </w:p>
    <w:p>
      <w:pPr>
        <w:ind w:left="173" w:hanging="173"/>
      </w:pPr>
      <w:r>
        <w:rPr>
          <w:b/>
        </w:rPr>
        <w:t xml:space="preserve">[ ] </w:t>
      </w:r>
      <w:r>
        <w:t>Schedule an early service check and annual review.</w:t>
      </w:r>
    </w:p>
    <w:p>
      <w:pPr>
        <w:pStyle w:val="Heading2"/>
      </w:pPr>
      <w:r>
        <w:t>Retention Through Service</w:t>
      </w:r>
    </w:p>
    <w:p>
      <w:r>
        <w:t>Retention should follow from accurate enrollment, responsive service, and appropriate annual review. It should not be described as guaranteed or made dependent on a billing method. Track the client's chosen communication channel and respect opt-out requests.</w:t>
      </w:r>
    </w:p>
    <w:p>
      <w:r>
        <w:br w:type="page"/>
      </w:r>
    </w:p>
    <w:p>
      <w:pPr>
        <w:pStyle w:val="Heading1"/>
      </w:pPr>
      <w:r>
        <w:t>Complete the First 30 Days</w:t>
      </w:r>
    </w:p>
    <w:p>
      <w:pPr>
        <w:pStyle w:val="Intro"/>
      </w:pPr>
      <w:r>
        <w:t>The first month establishes readiness, a professional operating base, and a small measurable lead 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trPr>
        <w:tc>
          <w:tcPr>
            <w:tcW w:type="dxa" w:w="2232"/>
            <w:shd w:fill="667A93"/>
            <w:tcMar>
              <w:top w:w="100" w:type="dxa"/>
              <w:start w:w="120" w:type="dxa"/>
              <w:bottom w:w="100" w:type="dxa"/>
              <w:end w:w="120" w:type="dxa"/>
            </w:tcMar>
            <w:vAlign w:val="center"/>
          </w:tcPr>
          <w:p>
            <w:pPr>
              <w:jc w:val="center"/>
            </w:pPr>
            <w:r>
              <w:rPr>
                <w:b/>
                <w:color w:val="FFFFFF"/>
                <w:sz w:val="18"/>
              </w:rPr>
              <w:t>Period</w:t>
            </w:r>
          </w:p>
        </w:tc>
        <w:tc>
          <w:tcPr>
            <w:tcW w:type="dxa" w:w="7560"/>
            <w:shd w:fill="667A93"/>
            <w:tcMar>
              <w:top w:w="100" w:type="dxa"/>
              <w:start w:w="120" w:type="dxa"/>
              <w:bottom w:w="100" w:type="dxa"/>
              <w:end w:w="120" w:type="dxa"/>
            </w:tcMar>
            <w:vAlign w:val="center"/>
          </w:tcPr>
          <w:p>
            <w:pPr>
              <w:jc w:val="center"/>
            </w:pPr>
            <w:r>
              <w:rPr>
                <w:b/>
                <w:color w:val="FFFFFF"/>
                <w:sz w:val="18"/>
              </w:rPr>
              <w:t>Primary Work</w:t>
            </w:r>
          </w:p>
        </w:tc>
      </w:tr>
      <w:tr>
        <w:tc>
          <w:tcPr>
            <w:tcW w:type="dxa" w:w="2232"/>
            <w:tcMar>
              <w:top w:w="100" w:type="dxa"/>
              <w:start w:w="120" w:type="dxa"/>
              <w:bottom w:w="100" w:type="dxa"/>
              <w:end w:w="120" w:type="dxa"/>
            </w:tcMar>
            <w:vAlign w:val="center"/>
          </w:tcPr>
          <w:p>
            <w:pPr>
              <w:jc w:val="center"/>
            </w:pPr>
            <w:r>
              <w:rPr>
                <w:sz w:val="17"/>
              </w:rPr>
              <w:t>Days 1 through 5</w:t>
            </w:r>
          </w:p>
        </w:tc>
        <w:tc>
          <w:tcPr>
            <w:tcW w:type="dxa" w:w="7560"/>
            <w:tcMar>
              <w:top w:w="100" w:type="dxa"/>
              <w:start w:w="120" w:type="dxa"/>
              <w:bottom w:w="100" w:type="dxa"/>
              <w:end w:w="120" w:type="dxa"/>
            </w:tcMar>
            <w:vAlign w:val="center"/>
          </w:tcPr>
          <w:p>
            <w:pPr>
              <w:jc w:val="left"/>
            </w:pPr>
            <w:r>
              <w:rPr>
                <w:sz w:val="17"/>
              </w:rPr>
              <w:t>Verify licenses and NPN; select target states and counties; compare agency, FMO, or carrier paths; confirm E and O requirements.</w:t>
            </w:r>
          </w:p>
        </w:tc>
      </w:tr>
      <w:tr>
        <w:tc>
          <w:tcPr>
            <w:tcW w:type="dxa" w:w="2232"/>
            <w:tcMar>
              <w:top w:w="100" w:type="dxa"/>
              <w:start w:w="120" w:type="dxa"/>
              <w:bottom w:w="100" w:type="dxa"/>
              <w:end w:w="120" w:type="dxa"/>
            </w:tcMar>
            <w:vAlign w:val="center"/>
            <w:shd w:fill="EEF2F6"/>
          </w:tcPr>
          <w:p>
            <w:pPr>
              <w:jc w:val="center"/>
            </w:pPr>
            <w:r>
              <w:rPr>
                <w:sz w:val="17"/>
              </w:rPr>
              <w:t>Days 6 through 10</w:t>
            </w:r>
          </w:p>
        </w:tc>
        <w:tc>
          <w:tcPr>
            <w:tcW w:type="dxa" w:w="7560"/>
            <w:tcMar>
              <w:top w:w="100" w:type="dxa"/>
              <w:start w:w="120" w:type="dxa"/>
              <w:bottom w:w="100" w:type="dxa"/>
              <w:end w:w="120" w:type="dxa"/>
            </w:tcMar>
            <w:vAlign w:val="center"/>
            <w:shd w:fill="EEF2F6"/>
          </w:tcPr>
          <w:p>
            <w:pPr>
              <w:jc w:val="left"/>
            </w:pPr>
            <w:r>
              <w:rPr>
                <w:sz w:val="17"/>
              </w:rPr>
              <w:t>Secure the accepted annual training route; locate discounts before payment; complete training; preserve certificates.</w:t>
            </w:r>
          </w:p>
        </w:tc>
      </w:tr>
      <w:tr>
        <w:tc>
          <w:tcPr>
            <w:tcW w:type="dxa" w:w="2232"/>
            <w:tcMar>
              <w:top w:w="100" w:type="dxa"/>
              <w:start w:w="120" w:type="dxa"/>
              <w:bottom w:w="100" w:type="dxa"/>
              <w:end w:w="120" w:type="dxa"/>
            </w:tcMar>
            <w:vAlign w:val="center"/>
          </w:tcPr>
          <w:p>
            <w:pPr>
              <w:jc w:val="center"/>
            </w:pPr>
            <w:r>
              <w:rPr>
                <w:sz w:val="17"/>
              </w:rPr>
              <w:t>Days 11 through 15</w:t>
            </w:r>
          </w:p>
        </w:tc>
        <w:tc>
          <w:tcPr>
            <w:tcW w:type="dxa" w:w="7560"/>
            <w:tcMar>
              <w:top w:w="100" w:type="dxa"/>
              <w:start w:w="120" w:type="dxa"/>
              <w:bottom w:w="100" w:type="dxa"/>
              <w:end w:w="120" w:type="dxa"/>
            </w:tcMar>
            <w:vAlign w:val="center"/>
          </w:tcPr>
          <w:p>
            <w:pPr>
              <w:jc w:val="left"/>
            </w:pPr>
            <w:r>
              <w:rPr>
                <w:sz w:val="17"/>
              </w:rPr>
              <w:t>Complete carrier contracting and certifications; build the readiness tracker; confirm each status rather than assuming approval.</w:t>
            </w:r>
          </w:p>
        </w:tc>
      </w:tr>
      <w:tr>
        <w:tc>
          <w:tcPr>
            <w:tcW w:type="dxa" w:w="2232"/>
            <w:tcMar>
              <w:top w:w="100" w:type="dxa"/>
              <w:start w:w="120" w:type="dxa"/>
              <w:bottom w:w="100" w:type="dxa"/>
              <w:end w:w="120" w:type="dxa"/>
            </w:tcMar>
            <w:vAlign w:val="center"/>
            <w:shd w:fill="EEF2F6"/>
          </w:tcPr>
          <w:p>
            <w:pPr>
              <w:jc w:val="center"/>
            </w:pPr>
            <w:r>
              <w:rPr>
                <w:sz w:val="17"/>
              </w:rPr>
              <w:t>Days 16 through 20</w:t>
            </w:r>
          </w:p>
        </w:tc>
        <w:tc>
          <w:tcPr>
            <w:tcW w:type="dxa" w:w="7560"/>
            <w:tcMar>
              <w:top w:w="100" w:type="dxa"/>
              <w:start w:w="120" w:type="dxa"/>
              <w:bottom w:w="100" w:type="dxa"/>
              <w:end w:w="120" w:type="dxa"/>
            </w:tcMar>
            <w:vAlign w:val="center"/>
            <w:shd w:fill="EEF2F6"/>
          </w:tcPr>
          <w:p>
            <w:pPr>
              <w:jc w:val="left"/>
            </w:pPr>
            <w:r>
              <w:rPr>
                <w:sz w:val="17"/>
              </w:rPr>
              <w:t>Set up email, phone, calendar, secure storage, website foundation, and Agent Rise contact categories.</w:t>
            </w:r>
          </w:p>
        </w:tc>
      </w:tr>
      <w:tr>
        <w:tc>
          <w:tcPr>
            <w:tcW w:type="dxa" w:w="2232"/>
            <w:tcMar>
              <w:top w:w="100" w:type="dxa"/>
              <w:start w:w="120" w:type="dxa"/>
              <w:bottom w:w="100" w:type="dxa"/>
              <w:end w:w="120" w:type="dxa"/>
            </w:tcMar>
            <w:vAlign w:val="center"/>
          </w:tcPr>
          <w:p>
            <w:pPr>
              <w:jc w:val="center"/>
            </w:pPr>
            <w:r>
              <w:rPr>
                <w:sz w:val="17"/>
              </w:rPr>
              <w:t>Days 21 through 25</w:t>
            </w:r>
          </w:p>
        </w:tc>
        <w:tc>
          <w:tcPr>
            <w:tcW w:type="dxa" w:w="7560"/>
            <w:tcMar>
              <w:top w:w="100" w:type="dxa"/>
              <w:start w:w="120" w:type="dxa"/>
              <w:bottom w:w="100" w:type="dxa"/>
              <w:end w:w="120" w:type="dxa"/>
            </w:tcMar>
            <w:vAlign w:val="center"/>
          </w:tcPr>
          <w:p>
            <w:pPr>
              <w:jc w:val="left"/>
            </w:pPr>
            <w:r>
              <w:rPr>
                <w:sz w:val="17"/>
              </w:rPr>
              <w:t>Choose three lead sources; prepare compliant materials and permission paths; schedule the first activities.</w:t>
            </w:r>
          </w:p>
        </w:tc>
      </w:tr>
      <w:tr>
        <w:tc>
          <w:tcPr>
            <w:tcW w:type="dxa" w:w="2232"/>
            <w:tcMar>
              <w:top w:w="100" w:type="dxa"/>
              <w:start w:w="120" w:type="dxa"/>
              <w:bottom w:w="100" w:type="dxa"/>
              <w:end w:w="120" w:type="dxa"/>
            </w:tcMar>
            <w:vAlign w:val="center"/>
            <w:shd w:fill="EEF2F6"/>
          </w:tcPr>
          <w:p>
            <w:pPr>
              <w:jc w:val="center"/>
            </w:pPr>
            <w:r>
              <w:rPr>
                <w:sz w:val="17"/>
              </w:rPr>
              <w:t>Days 26 through 30</w:t>
            </w:r>
          </w:p>
        </w:tc>
        <w:tc>
          <w:tcPr>
            <w:tcW w:type="dxa" w:w="7560"/>
            <w:tcMar>
              <w:top w:w="100" w:type="dxa"/>
              <w:start w:w="120" w:type="dxa"/>
              <w:bottom w:w="100" w:type="dxa"/>
              <w:end w:w="120" w:type="dxa"/>
            </w:tcMar>
            <w:vAlign w:val="center"/>
            <w:shd w:fill="EEF2F6"/>
          </w:tcPr>
          <w:p>
            <w:pPr>
              <w:jc w:val="left"/>
            </w:pPr>
            <w:r>
              <w:rPr>
                <w:sz w:val="17"/>
              </w:rPr>
              <w:t>Run the first outreach cycle; record every source and outcome; review the scoreboard; correct the weakest step.</w:t>
            </w:r>
          </w:p>
        </w:tc>
      </w:tr>
    </w:tbl>
    <w:p>
      <w:pPr>
        <w:spacing w:after="0"/>
      </w:pPr>
    </w:p>
    <w:p>
      <w:pPr>
        <w:pStyle w:val="Heading2"/>
      </w:pPr>
      <w:r>
        <w:t>Day 30 Evidence</w:t>
      </w:r>
    </w:p>
    <w:p>
      <w:pPr>
        <w:ind w:left="173" w:hanging="173"/>
      </w:pPr>
      <w:r>
        <w:rPr>
          <w:b/>
        </w:rPr>
        <w:t xml:space="preserve">[ ] </w:t>
      </w:r>
      <w:r>
        <w:t>Ready-to-sell evidence for intended carriers and products</w:t>
      </w:r>
    </w:p>
    <w:p>
      <w:pPr>
        <w:ind w:left="173" w:hanging="173"/>
      </w:pPr>
      <w:r>
        <w:rPr>
          <w:b/>
        </w:rPr>
        <w:t xml:space="preserve">[ ] </w:t>
      </w:r>
      <w:r>
        <w:t>One complete business and compliance file</w:t>
      </w:r>
    </w:p>
    <w:p>
      <w:pPr>
        <w:ind w:left="173" w:hanging="173"/>
      </w:pPr>
      <w:r>
        <w:rPr>
          <w:b/>
        </w:rPr>
        <w:t xml:space="preserve">[ ] </w:t>
      </w:r>
      <w:r>
        <w:t>Three defined lead sources</w:t>
      </w:r>
    </w:p>
    <w:p>
      <w:pPr>
        <w:ind w:left="173" w:hanging="173"/>
      </w:pPr>
      <w:r>
        <w:rPr>
          <w:b/>
        </w:rPr>
        <w:t xml:space="preserve">[ ] </w:t>
      </w:r>
      <w:r>
        <w:t>A working contact and follow-up system</w:t>
      </w:r>
    </w:p>
    <w:p>
      <w:pPr>
        <w:ind w:left="173" w:hanging="173"/>
      </w:pPr>
      <w:r>
        <w:rPr>
          <w:b/>
        </w:rPr>
        <w:t xml:space="preserve">[ ] </w:t>
      </w:r>
      <w:r>
        <w:t>A weekly scoreboard with actual results</w:t>
      </w:r>
    </w:p>
    <w:p>
      <w:r>
        <w:br w:type="page"/>
      </w:r>
    </w:p>
    <w:p>
      <w:pPr>
        <w:pStyle w:val="Heading1"/>
      </w:pPr>
      <w:r>
        <w:t>Essential Resource Links</w:t>
      </w:r>
    </w:p>
    <w:p>
      <w:pPr>
        <w:pStyle w:val="Intro"/>
      </w:pPr>
      <w:r>
        <w:t>Use official sources for licensing and federal rules. Verify commercial discounts and carrier requirements before payment or submission.</w:t>
      </w:r>
    </w:p>
    <w:p>
      <w:pPr>
        <w:spacing w:after="100"/>
      </w:pPr>
      <w:r>
        <w:rPr>
          <w:b/>
        </w:rPr>
        <w:t xml:space="preserve">NIPR Licensing Center  </w:t>
      </w:r>
      <w:hyperlink r:id="rId10">
        <w:r>
          <w:rPr>
            <w:color w:val="667A93"/>
            <w:u w:val="single"/>
          </w:rPr>
          <w:t>Open resource</w:t>
        </w:r>
      </w:hyperlink>
      <w:r>
        <w:br/>
        <w:t>Apply, renew, manage licenses, and locate state-specific information.</w:t>
      </w:r>
    </w:p>
    <w:p>
      <w:pPr>
        <w:spacing w:after="100"/>
      </w:pPr>
      <w:r>
        <w:rPr>
          <w:b/>
        </w:rPr>
        <w:t xml:space="preserve">NPN Lookup  </w:t>
      </w:r>
      <w:hyperlink r:id="rId11">
        <w:r>
          <w:rPr>
            <w:color w:val="667A93"/>
            <w:u w:val="single"/>
          </w:rPr>
          <w:t>Open resource</w:t>
        </w:r>
      </w:hyperlink>
      <w:r>
        <w:br/>
        <w:t>Confirm the National Producer Number associated with a producer record.</w:t>
      </w:r>
    </w:p>
    <w:p>
      <w:pPr>
        <w:spacing w:after="100"/>
      </w:pPr>
      <w:r>
        <w:rPr>
          <w:b/>
        </w:rPr>
        <w:t xml:space="preserve">NAIC State Insurance Departments  </w:t>
      </w:r>
      <w:hyperlink r:id="rId12">
        <w:r>
          <w:rPr>
            <w:color w:val="667A93"/>
            <w:u w:val="single"/>
          </w:rPr>
          <w:t>Open resource</w:t>
        </w:r>
      </w:hyperlink>
      <w:r>
        <w:br/>
        <w:t>Locate the applicable state insurance regulator.</w:t>
      </w:r>
    </w:p>
    <w:p>
      <w:pPr>
        <w:spacing w:after="100"/>
      </w:pPr>
      <w:r>
        <w:rPr>
          <w:b/>
        </w:rPr>
        <w:t xml:space="preserve">CMS Medicare Marketing Resources  </w:t>
      </w:r>
      <w:hyperlink r:id="rId13">
        <w:r>
          <w:rPr>
            <w:color w:val="667A93"/>
            <w:u w:val="single"/>
          </w:rPr>
          <w:t>Open resource</w:t>
        </w:r>
      </w:hyperlink>
      <w:r>
        <w:br/>
        <w:t>Find current marketing models, standard documents, educational materials, and agent training guidance.</w:t>
      </w:r>
    </w:p>
    <w:p>
      <w:pPr>
        <w:spacing w:after="100"/>
      </w:pPr>
      <w:r>
        <w:rPr>
          <w:b/>
        </w:rPr>
        <w:t xml:space="preserve">Current Medicare Advantage Beneficiary Contact Rule  </w:t>
      </w:r>
      <w:hyperlink r:id="rId14">
        <w:r>
          <w:rPr>
            <w:color w:val="667A93"/>
            <w:u w:val="single"/>
          </w:rPr>
          <w:t>Open resource</w:t>
        </w:r>
      </w:hyperlink>
      <w:r>
        <w:br/>
        <w:t>Review current federal rules for unsolicited contact, events, personal marketing appointments, and Scope of Appointment.</w:t>
      </w:r>
    </w:p>
    <w:p>
      <w:pPr>
        <w:spacing w:after="100"/>
      </w:pPr>
      <w:r>
        <w:rPr>
          <w:b/>
        </w:rPr>
        <w:t xml:space="preserve">Current Medicare Advantage Marketing Requirements  </w:t>
      </w:r>
      <w:hyperlink r:id="rId15">
        <w:r>
          <w:rPr>
            <w:color w:val="667A93"/>
            <w:u w:val="single"/>
          </w:rPr>
          <w:t>Open resource</w:t>
        </w:r>
      </w:hyperlink>
      <w:r>
        <w:br/>
        <w:t>Review current general marketing requirements.</w:t>
      </w:r>
    </w:p>
    <w:p>
      <w:pPr>
        <w:spacing w:after="100"/>
      </w:pPr>
      <w:r>
        <w:rPr>
          <w:b/>
        </w:rPr>
        <w:t xml:space="preserve">AHIP Medicare Training Portal  </w:t>
      </w:r>
      <w:hyperlink r:id="rId16">
        <w:r>
          <w:rPr>
            <w:color w:val="667A93"/>
            <w:u w:val="single"/>
          </w:rPr>
          <w:t>Open resource</w:t>
        </w:r>
      </w:hyperlink>
      <w:r>
        <w:br/>
        <w:t>Confirm current training access, plan-year options, and pricing.</w:t>
      </w:r>
    </w:p>
    <w:p>
      <w:pPr>
        <w:spacing w:after="100"/>
      </w:pPr>
      <w:r>
        <w:rPr>
          <w:b/>
        </w:rPr>
        <w:t xml:space="preserve">Redbird AHIP Discount Information  </w:t>
      </w:r>
      <w:hyperlink r:id="rId17">
        <w:r>
          <w:rPr>
            <w:color w:val="667A93"/>
            <w:u w:val="single"/>
          </w:rPr>
          <w:t>Open resource</w:t>
        </w:r>
      </w:hyperlink>
      <w:r>
        <w:br/>
        <w:t>Commercial example. Verify the displayed price and terms before paying.</w:t>
      </w:r>
    </w:p>
    <w:p>
      <w:r>
        <w:t>The personalized commercial edition should replace mutable commercial links with Agent Rise resource-hub links. The hub can be updated without reissuing the PDF and can require purchaser sign-in.</w:t>
      </w:r>
    </w:p>
    <w:p>
      <w:r>
        <w:br w:type="page"/>
      </w:r>
    </w:p>
    <w:p>
      <w:pPr>
        <w:pStyle w:val="Heading1"/>
      </w:pPr>
      <w:r>
        <w:t>Complete the Final Readiness Check</w:t>
      </w:r>
    </w:p>
    <w:p>
      <w:pPr>
        <w:ind w:left="173" w:hanging="173"/>
      </w:pPr>
      <w:r>
        <w:rPr>
          <w:b/>
        </w:rPr>
        <w:t xml:space="preserve">[ ] </w:t>
      </w:r>
      <w:r>
        <w:t>Resident and required nonresident licenses are active.</w:t>
      </w:r>
    </w:p>
    <w:p>
      <w:pPr>
        <w:ind w:left="173" w:hanging="173"/>
      </w:pPr>
      <w:r>
        <w:rPr>
          <w:b/>
        </w:rPr>
        <w:t xml:space="preserve">[ ] </w:t>
      </w:r>
      <w:r>
        <w:t>NPN and contracting identity are correct.</w:t>
      </w:r>
    </w:p>
    <w:p>
      <w:pPr>
        <w:ind w:left="173" w:hanging="173"/>
      </w:pPr>
      <w:r>
        <w:rPr>
          <w:b/>
        </w:rPr>
        <w:t xml:space="preserve">[ ] </w:t>
      </w:r>
      <w:r>
        <w:t>E and O requirements are satisfied.</w:t>
      </w:r>
    </w:p>
    <w:p>
      <w:pPr>
        <w:ind w:left="173" w:hanging="173"/>
      </w:pPr>
      <w:r>
        <w:rPr>
          <w:b/>
        </w:rPr>
        <w:t xml:space="preserve">[ ] </w:t>
      </w:r>
      <w:r>
        <w:t>Annual Medicare training is complete and accepted by the intended carriers.</w:t>
      </w:r>
    </w:p>
    <w:p>
      <w:pPr>
        <w:ind w:left="173" w:hanging="173"/>
      </w:pPr>
      <w:r>
        <w:rPr>
          <w:b/>
        </w:rPr>
        <w:t xml:space="preserve">[ ] </w:t>
      </w:r>
      <w:r>
        <w:t>Carrier product certifications are complete.</w:t>
      </w:r>
    </w:p>
    <w:p>
      <w:pPr>
        <w:ind w:left="173" w:hanging="173"/>
      </w:pPr>
      <w:r>
        <w:rPr>
          <w:b/>
        </w:rPr>
        <w:t xml:space="preserve">[ ] </w:t>
      </w:r>
      <w:r>
        <w:t>Appointments and ready-to-sell status are confirmed for each intended state and product.</w:t>
      </w:r>
    </w:p>
    <w:p>
      <w:pPr>
        <w:ind w:left="173" w:hanging="173"/>
      </w:pPr>
      <w:r>
        <w:rPr>
          <w:b/>
        </w:rPr>
        <w:t xml:space="preserve">[ ] </w:t>
      </w:r>
      <w:r>
        <w:t>Required records, disclosures, permissions, and Scope of Appointment processes are available.</w:t>
      </w:r>
    </w:p>
    <w:p>
      <w:pPr>
        <w:ind w:left="173" w:hanging="173"/>
      </w:pPr>
      <w:r>
        <w:rPr>
          <w:b/>
        </w:rPr>
        <w:t xml:space="preserve">[ ] </w:t>
      </w:r>
      <w:r>
        <w:t>Professional email, phone, calendar, website, and secure storage are working.</w:t>
      </w:r>
    </w:p>
    <w:p>
      <w:pPr>
        <w:ind w:left="173" w:hanging="173"/>
      </w:pPr>
      <w:r>
        <w:rPr>
          <w:b/>
        </w:rPr>
        <w:t xml:space="preserve">[ ] </w:t>
      </w:r>
      <w:r>
        <w:t>At least three compliant lead sources are defined.</w:t>
      </w:r>
    </w:p>
    <w:p>
      <w:pPr>
        <w:ind w:left="173" w:hanging="173"/>
      </w:pPr>
      <w:r>
        <w:rPr>
          <w:b/>
        </w:rPr>
        <w:t xml:space="preserve">[ ] </w:t>
      </w:r>
      <w:r>
        <w:t>Every lead has a source, permission status, category, and next action.</w:t>
      </w:r>
    </w:p>
    <w:p>
      <w:pPr>
        <w:ind w:left="173" w:hanging="173"/>
      </w:pPr>
      <w:r>
        <w:rPr>
          <w:b/>
        </w:rPr>
        <w:t xml:space="preserve">[ ] </w:t>
      </w:r>
      <w:r>
        <w:t>Appointment, application, service follow-up, and annual-review stages are defined.</w:t>
      </w:r>
    </w:p>
    <w:p>
      <w:pPr>
        <w:ind w:left="173" w:hanging="173"/>
      </w:pPr>
      <w:r>
        <w:rPr>
          <w:b/>
        </w:rPr>
        <w:t xml:space="preserve">[ ] </w:t>
      </w:r>
      <w:r>
        <w:t>The weekly scoreboard is ready.</w:t>
      </w:r>
    </w:p>
    <w:p>
      <w:pPr>
        <w:pStyle w:val="Heading2"/>
      </w:pPr>
      <w:r>
        <w:t>Sources and Version</w:t>
      </w:r>
    </w:p>
    <w:p>
      <w:r>
        <w:t>Content verified against NIPR, NAIC, CMS, and the Electronic Code of Federal Regulations available through September 14, 2026. The beneficiary-contact regulation displayed by eCFR was current through September 10, 2026. Commercial certification prices and discounts were checked in September 2026 and must be confirmed again before purchase.</w:t>
      </w:r>
    </w:p>
    <w:p>
      <w:r>
        <w:t>The final Canva edition should add the corrected Medicare and Social Security Payment Matrix, the corrected 2026 IRMAA reference, and the corrected Agent Launch infographic as separate bonus files or appendix items.</w:t>
      </w:r>
    </w:p>
    <w:sectPr w:rsidR="00FC693F" w:rsidRPr="0006063C" w:rsidSect="00034616">
      <w:footerReference w:type="default" r:id="rId9"/>
      <w:footerReference w:type="first" r:id="rId101"/>
      <w:pgSz w:w="12240" w:h="15840"/>
      <w:pgMar w:top="893" w:right="1037" w:bottom="893"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A93"/>
        <w:sz w:val="16"/>
      </w:rPr>
      <w:t xml:space="preserve">Agent Rise Studio  |  Licensed educational resource  |  </w:t>
    </w:r>
    <w:r>
      <w:fldSimple w:instr="PAGE"/>
    </w:r>
  </w:p>
</w:ftr>
</file>

<file path=word/footer2.xml><?xml version="1.0" encoding="utf-8"?>
<w:ftr xmlns:w="http://schemas.openxmlformats.org/wordprocessingml/2006/main">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jc w:val="center"/>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jc w:val="center"/>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pPr>
      <w:spacing w:after="180"/>
    </w:pPr>
    <w:rPr>
      <w:rFonts w:ascii="Aptos" w:hAnsi="Aptos"/>
      <w:i w:val="0"/>
      <w:color w:val="202126"/>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ipr.com/" TargetMode="External"/><Relationship Id="rId11" Type="http://schemas.openxmlformats.org/officeDocument/2006/relationships/hyperlink" Target="https://npn-lookup.app.nipr.com/" TargetMode="External"/><Relationship Id="rId12" Type="http://schemas.openxmlformats.org/officeDocument/2006/relationships/hyperlink" Target="https://content.naic.org/state-insurance-departments" TargetMode="External"/><Relationship Id="rId13" Type="http://schemas.openxmlformats.org/officeDocument/2006/relationships/hyperlink" Target="https://www.cms.gov/medicare/health-drug-plans/managed-care-marketing" TargetMode="External"/><Relationship Id="rId14" Type="http://schemas.openxmlformats.org/officeDocument/2006/relationships/hyperlink" Target="https://www.ecfr.gov/current/title-42/chapter-IV/subchapter-B/part-422/subpart-V/section-422.2264" TargetMode="External"/><Relationship Id="rId15" Type="http://schemas.openxmlformats.org/officeDocument/2006/relationships/hyperlink" Target="https://www.ecfr.gov/current/title-42/chapter-IV/subchapter-B/part-422/subpart-V/section-422.2263" TargetMode="External"/><Relationship Id="rId16" Type="http://schemas.openxmlformats.org/officeDocument/2006/relationships/hyperlink" Target="https://www.ahipmedicaretraining.com/page/login" TargetMode="External"/><Relationship Id="rId17" Type="http://schemas.openxmlformats.org/officeDocument/2006/relationships/hyperlink" Target="https://redbirdagents.com/ahip-certification/" TargetMode="External"/><Relationship Id="rId100" Type="http://schemas.openxmlformats.org/officeDocument/2006/relationships/image" Target="media/cover.png"/><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Medicare Advantage Agent Launch Blueprint</dc:title>
  <dc:subject>Organization and launch guide for licensed Medicare agents</dc:subject>
  <dc:creator>Agent Rise Studio</dc:creator>
  <cp:keywords>Medicare Advantage, insurance agents, Agent Rise, lead management, ready to sell</cp:keywords>
  <dc:description>generated by python-docx</dc:description>
  <cp:lastModifiedBy/>
  <cp:revision>1</cp:revision>
  <dcterms:created xsi:type="dcterms:W3CDTF">2013-12-23T23:15:00Z</dcterms:created>
  <dcterms:modified xsi:type="dcterms:W3CDTF">2013-12-23T23:15:00Z</dcterms:modified>
  <cp:category/>
</cp:coreProperties>
</file>